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黑体" w:hAnsi="黑体" w:eastAsia="黑体"/>
          <w:szCs w:val="40"/>
        </w:rPr>
      </w:pPr>
      <w:r>
        <w:rPr>
          <w:rFonts w:hint="eastAsia" w:ascii="黑体" w:hAnsi="黑体" w:eastAsia="黑体"/>
          <w:szCs w:val="40"/>
        </w:rPr>
        <w:t>附件1</w:t>
      </w:r>
    </w:p>
    <w:p>
      <w:pPr>
        <w:spacing w:line="600" w:lineRule="exact"/>
        <w:jc w:val="left"/>
        <w:rPr>
          <w:rFonts w:hAnsi="黑体" w:eastAsia="仿宋_GB2312"/>
        </w:rPr>
      </w:pPr>
    </w:p>
    <w:p>
      <w:pPr>
        <w:spacing w:line="600" w:lineRule="exact"/>
        <w:jc w:val="center"/>
        <w:rPr>
          <w:rFonts w:ascii="方正小标宋简体" w:hAnsi="仿宋"/>
          <w:sz w:val="44"/>
          <w:szCs w:val="44"/>
        </w:rPr>
      </w:pPr>
      <w:r>
        <w:rPr>
          <w:rFonts w:hint="eastAsia" w:ascii="方正小标宋简体" w:hAnsi="仿宋"/>
          <w:sz w:val="44"/>
          <w:szCs w:val="44"/>
        </w:rPr>
        <w:t>高级通信工程师电子化评审材料要求</w:t>
      </w:r>
    </w:p>
    <w:p>
      <w:pPr>
        <w:spacing w:line="600" w:lineRule="exact"/>
        <w:jc w:val="center"/>
        <w:rPr>
          <w:rFonts w:hAnsi="仿宋" w:eastAsia="仿宋_GB2312"/>
          <w:b/>
        </w:rPr>
      </w:pPr>
    </w:p>
    <w:p>
      <w:pPr>
        <w:spacing w:line="600" w:lineRule="exact"/>
        <w:ind w:firstLine="640" w:firstLineChars="200"/>
        <w:jc w:val="left"/>
        <w:rPr>
          <w:rFonts w:hint="eastAsia" w:hAnsi="仿宋" w:eastAsia="仿宋_GB2312"/>
          <w:sz w:val="32"/>
          <w:szCs w:val="32"/>
        </w:rPr>
      </w:pPr>
      <w:r>
        <w:rPr>
          <w:rFonts w:hint="eastAsia" w:hAnsi="仿宋" w:eastAsia="仿宋_GB2312"/>
          <w:sz w:val="32"/>
          <w:szCs w:val="32"/>
        </w:rPr>
        <w:t>为方便开展工作，提高服务质量和效率，节约资源与评审成本，凡申请晋升高级通信工程师职称的人员，其参评材料须按本要求实施电子化。</w:t>
      </w:r>
    </w:p>
    <w:p>
      <w:pPr>
        <w:numPr>
          <w:ilvl w:val="0"/>
          <w:numId w:val="1"/>
        </w:numPr>
        <w:spacing w:line="600" w:lineRule="exact"/>
        <w:ind w:left="0" w:firstLine="640" w:firstLineChars="200"/>
        <w:jc w:val="left"/>
        <w:rPr>
          <w:rFonts w:hint="eastAsia" w:ascii="黑体" w:hAnsi="黑体" w:eastAsia="黑体"/>
          <w:sz w:val="32"/>
          <w:szCs w:val="32"/>
        </w:rPr>
      </w:pPr>
      <w:r>
        <w:rPr>
          <w:rFonts w:hint="eastAsia" w:ascii="黑体" w:hAnsi="黑体" w:eastAsia="黑体"/>
          <w:sz w:val="32"/>
          <w:szCs w:val="32"/>
        </w:rPr>
        <w:t>支撑材料电子化基本方法</w:t>
      </w:r>
    </w:p>
    <w:p>
      <w:pPr>
        <w:spacing w:line="600" w:lineRule="exact"/>
        <w:ind w:firstLine="640" w:firstLineChars="200"/>
        <w:rPr>
          <w:rFonts w:hint="eastAsia" w:hAnsi="仿宋" w:eastAsia="仿宋_GB2312"/>
          <w:sz w:val="32"/>
          <w:szCs w:val="32"/>
        </w:rPr>
      </w:pPr>
      <w:r>
        <w:rPr>
          <w:rFonts w:hint="eastAsia" w:hAnsi="仿宋" w:eastAsia="仿宋_GB2312"/>
          <w:sz w:val="32"/>
          <w:szCs w:val="32"/>
        </w:rPr>
        <w:t>首先将纸质参评材料以数码扫描或拍照方式清晰转换为JPG或PDF格式图片，除参评人员个人照片大小不能超过300K以外，其他参评材料每张图片的大小不能超过600K。若在上传过程中，发现图片超过限制大小，可使用系统中的图片处理工具按照系统中的操作说明将图片大小处理在600K以内再上传。申报人将材料上传至系统后，须对所有图片进行检查测试，确保打开顺畅且清晰无误。</w:t>
      </w:r>
    </w:p>
    <w:p>
      <w:pPr>
        <w:numPr>
          <w:ilvl w:val="0"/>
          <w:numId w:val="1"/>
        </w:numPr>
        <w:spacing w:line="600" w:lineRule="exact"/>
        <w:ind w:left="0" w:firstLine="640" w:firstLineChars="200"/>
        <w:jc w:val="left"/>
        <w:rPr>
          <w:rFonts w:hint="eastAsia" w:ascii="黑体" w:hAnsi="黑体" w:eastAsia="黑体"/>
          <w:sz w:val="32"/>
          <w:szCs w:val="32"/>
        </w:rPr>
      </w:pPr>
      <w:r>
        <w:rPr>
          <w:rFonts w:hint="eastAsia" w:ascii="黑体" w:hAnsi="黑体" w:eastAsia="黑体"/>
          <w:sz w:val="32"/>
          <w:szCs w:val="32"/>
        </w:rPr>
        <w:t>职称系统支撑材料模块类别及文件上传规则</w:t>
      </w:r>
    </w:p>
    <w:p>
      <w:pPr>
        <w:spacing w:line="600" w:lineRule="exact"/>
        <w:ind w:firstLine="640" w:firstLineChars="200"/>
        <w:jc w:val="left"/>
        <w:rPr>
          <w:rFonts w:hint="eastAsia" w:hAnsi="仿宋" w:eastAsia="仿宋_GB2312"/>
          <w:sz w:val="32"/>
          <w:szCs w:val="32"/>
        </w:rPr>
      </w:pPr>
      <w:r>
        <w:rPr>
          <w:rFonts w:hint="eastAsia" w:ascii="楷体_GB2312" w:hAnsi="仿宋" w:eastAsia="楷体_GB2312"/>
          <w:b w:val="0"/>
          <w:sz w:val="32"/>
          <w:szCs w:val="32"/>
        </w:rPr>
        <w:t>（一）照片。</w:t>
      </w:r>
      <w:r>
        <w:rPr>
          <w:rFonts w:hint="eastAsia" w:hAnsi="仿宋" w:eastAsia="仿宋_GB2312"/>
          <w:sz w:val="32"/>
          <w:szCs w:val="32"/>
        </w:rPr>
        <w:t>建议626像素(高)x413像素(宽)。文件大小不超过300K，支持JPG、PNG、JPEG格式，将照片上传至系统中的照片模块。</w:t>
      </w:r>
    </w:p>
    <w:p>
      <w:pPr>
        <w:spacing w:line="600" w:lineRule="exact"/>
        <w:ind w:firstLine="640" w:firstLineChars="200"/>
        <w:rPr>
          <w:rFonts w:hint="eastAsia" w:hAnsi="仿宋" w:eastAsia="仿宋_GB2312"/>
          <w:sz w:val="32"/>
          <w:szCs w:val="32"/>
        </w:rPr>
      </w:pPr>
      <w:r>
        <w:rPr>
          <w:rFonts w:hint="eastAsia" w:ascii="楷体_GB2312" w:hAnsi="仿宋" w:eastAsia="楷体_GB2312"/>
          <w:b w:val="0"/>
          <w:sz w:val="32"/>
          <w:szCs w:val="32"/>
        </w:rPr>
        <w:t>（二）证件电子图片。</w:t>
      </w:r>
      <w:r>
        <w:rPr>
          <w:rFonts w:hint="eastAsia" w:hAnsi="仿宋" w:eastAsia="仿宋_GB2312"/>
          <w:sz w:val="32"/>
          <w:szCs w:val="32"/>
        </w:rPr>
        <w:t>登录系统后，在证件电子图片模块中上传身份证（正、反面两张）、学历及学位证书、职称证书、职（执）业资格证书等证明材料。系统中带红色星号的项目为必传项，其他证件材料若有可选择上传。</w:t>
      </w:r>
    </w:p>
    <w:p>
      <w:pPr>
        <w:spacing w:line="600" w:lineRule="exact"/>
        <w:ind w:firstLine="640" w:firstLineChars="200"/>
        <w:rPr>
          <w:rFonts w:hint="eastAsia" w:hAnsi="仿宋" w:eastAsia="仿宋_GB2312"/>
          <w:sz w:val="32"/>
          <w:szCs w:val="32"/>
        </w:rPr>
      </w:pPr>
      <w:r>
        <w:rPr>
          <w:rFonts w:hint="eastAsia" w:ascii="楷体_GB2312" w:hAnsi="仿宋" w:eastAsia="楷体_GB2312"/>
          <w:b w:val="0"/>
          <w:sz w:val="32"/>
          <w:szCs w:val="32"/>
        </w:rPr>
        <w:t>（三）评审申报材料。</w:t>
      </w:r>
      <w:r>
        <w:rPr>
          <w:rFonts w:hint="eastAsia" w:hAnsi="仿宋" w:eastAsia="仿宋_GB2312"/>
          <w:sz w:val="32"/>
          <w:szCs w:val="32"/>
        </w:rPr>
        <w:t>登录系统后，在评审申报材料模块中上传相应的电子化材料。</w:t>
      </w:r>
    </w:p>
    <w:p>
      <w:pPr>
        <w:spacing w:line="600" w:lineRule="exact"/>
        <w:ind w:firstLine="640" w:firstLineChars="200"/>
        <w:rPr>
          <w:rFonts w:hint="eastAsia" w:hAnsi="仿宋" w:eastAsia="仿宋_GB2312"/>
          <w:sz w:val="32"/>
          <w:szCs w:val="32"/>
        </w:rPr>
      </w:pPr>
      <w:r>
        <w:rPr>
          <w:rFonts w:hint="eastAsia" w:hAnsi="仿宋" w:eastAsia="仿宋_GB2312"/>
          <w:sz w:val="32"/>
          <w:szCs w:val="32"/>
        </w:rPr>
        <w:t>1</w:t>
      </w:r>
      <w:r>
        <w:rPr>
          <w:rFonts w:hint="eastAsia" w:hAnsi="仿宋" w:eastAsia="仿宋_GB2312"/>
        </w:rPr>
        <w:t>.</w:t>
      </w:r>
      <w:r>
        <w:rPr>
          <w:rFonts w:hint="eastAsia" w:hAnsi="仿宋" w:eastAsia="仿宋_GB2312"/>
          <w:sz w:val="32"/>
          <w:szCs w:val="32"/>
        </w:rPr>
        <w:t>证明:《申报专业技术任职资格诚信承诺书》，任现职以来工作情况证明材料；</w:t>
      </w:r>
    </w:p>
    <w:p>
      <w:pPr>
        <w:spacing w:line="600" w:lineRule="exact"/>
        <w:ind w:firstLine="640" w:firstLineChars="200"/>
        <w:rPr>
          <w:rFonts w:hint="eastAsia" w:hAnsi="仿宋" w:eastAsia="仿宋_GB2312"/>
          <w:sz w:val="32"/>
          <w:szCs w:val="32"/>
        </w:rPr>
      </w:pPr>
      <w:r>
        <w:rPr>
          <w:rFonts w:hint="eastAsia" w:hAnsi="仿宋" w:eastAsia="仿宋_GB2312"/>
          <w:sz w:val="32"/>
          <w:szCs w:val="32"/>
        </w:rPr>
        <w:t>2</w:t>
      </w:r>
      <w:r>
        <w:rPr>
          <w:rFonts w:hint="eastAsia" w:hAnsi="仿宋" w:eastAsia="仿宋_GB2312"/>
        </w:rPr>
        <w:t>.</w:t>
      </w:r>
      <w:r>
        <w:rPr>
          <w:rFonts w:hint="eastAsia" w:hAnsi="仿宋" w:eastAsia="仿宋_GB2312"/>
          <w:sz w:val="32"/>
          <w:szCs w:val="32"/>
        </w:rPr>
        <w:t>专业论文、论著：内容依次为论文论著成果目录、逐篇（部）论文论著（包括封面、出版或版权信息页、相关目录页、本人撰写完成的内容部分）的原件电子化材料；</w:t>
      </w:r>
    </w:p>
    <w:p>
      <w:pPr>
        <w:spacing w:line="600" w:lineRule="exact"/>
        <w:ind w:firstLine="640" w:firstLineChars="200"/>
        <w:rPr>
          <w:rFonts w:hint="eastAsia" w:hAnsi="仿宋" w:eastAsia="仿宋_GB2312"/>
          <w:sz w:val="32"/>
          <w:szCs w:val="32"/>
        </w:rPr>
      </w:pPr>
      <w:r>
        <w:rPr>
          <w:rFonts w:hint="eastAsia" w:hAnsi="仿宋" w:eastAsia="仿宋_GB2312"/>
          <w:sz w:val="32"/>
          <w:szCs w:val="32"/>
        </w:rPr>
        <w:t>3</w:t>
      </w:r>
      <w:r>
        <w:rPr>
          <w:rFonts w:hint="eastAsia" w:hAnsi="仿宋" w:eastAsia="仿宋_GB2312"/>
        </w:rPr>
        <w:t>.</w:t>
      </w:r>
      <w:r>
        <w:rPr>
          <w:rFonts w:hint="eastAsia" w:hAnsi="仿宋" w:eastAsia="仿宋_GB2312"/>
          <w:sz w:val="32"/>
          <w:szCs w:val="32"/>
        </w:rPr>
        <w:t>任期内科研成果材料；</w:t>
      </w:r>
    </w:p>
    <w:p>
      <w:pPr>
        <w:spacing w:line="600" w:lineRule="exact"/>
        <w:ind w:left="624"/>
        <w:rPr>
          <w:rFonts w:hint="eastAsia" w:hAnsi="仿宋" w:eastAsia="仿宋_GB2312"/>
          <w:sz w:val="32"/>
          <w:szCs w:val="32"/>
        </w:rPr>
      </w:pPr>
      <w:r>
        <w:rPr>
          <w:rFonts w:hint="eastAsia" w:hAnsi="仿宋" w:eastAsia="仿宋_GB2312"/>
          <w:sz w:val="32"/>
          <w:szCs w:val="32"/>
        </w:rPr>
        <w:t>4</w:t>
      </w:r>
      <w:r>
        <w:rPr>
          <w:rFonts w:hint="eastAsia" w:hAnsi="仿宋" w:eastAsia="仿宋_GB2312"/>
        </w:rPr>
        <w:t>.</w:t>
      </w:r>
      <w:r>
        <w:rPr>
          <w:rFonts w:hint="eastAsia" w:hAnsi="仿宋" w:eastAsia="仿宋_GB2312"/>
          <w:sz w:val="32"/>
          <w:szCs w:val="32"/>
        </w:rPr>
        <w:t>任现职以来的获得的专业奖励证书；</w:t>
      </w:r>
    </w:p>
    <w:p>
      <w:pPr>
        <w:spacing w:line="600" w:lineRule="exact"/>
        <w:ind w:left="624"/>
        <w:rPr>
          <w:rFonts w:hint="eastAsia" w:hAnsi="仿宋" w:eastAsia="仿宋_GB2312"/>
          <w:sz w:val="32"/>
          <w:szCs w:val="32"/>
        </w:rPr>
      </w:pPr>
      <w:r>
        <w:rPr>
          <w:rFonts w:hint="eastAsia" w:hAnsi="仿宋" w:eastAsia="仿宋_GB2312"/>
          <w:sz w:val="32"/>
          <w:szCs w:val="32"/>
        </w:rPr>
        <w:t>5</w:t>
      </w:r>
      <w:r>
        <w:rPr>
          <w:rFonts w:hint="eastAsia" w:hAnsi="仿宋" w:eastAsia="仿宋_GB2312"/>
        </w:rPr>
        <w:t>.</w:t>
      </w:r>
      <w:r>
        <w:rPr>
          <w:rFonts w:hint="eastAsia" w:hAnsi="仿宋" w:eastAsia="仿宋_GB2312"/>
          <w:sz w:val="32"/>
          <w:szCs w:val="32"/>
        </w:rPr>
        <w:t>任现职以来获得的其他奖励证书；</w:t>
      </w:r>
    </w:p>
    <w:p>
      <w:pPr>
        <w:spacing w:line="600" w:lineRule="exact"/>
        <w:ind w:left="600"/>
        <w:rPr>
          <w:rFonts w:hint="eastAsia" w:hAnsi="仿宋" w:eastAsia="仿宋_GB2312"/>
          <w:sz w:val="32"/>
          <w:szCs w:val="32"/>
        </w:rPr>
      </w:pPr>
      <w:r>
        <w:rPr>
          <w:rFonts w:hint="eastAsia" w:hAnsi="仿宋" w:eastAsia="仿宋_GB2312"/>
          <w:sz w:val="32"/>
          <w:szCs w:val="32"/>
        </w:rPr>
        <w:t>6</w:t>
      </w:r>
      <w:r>
        <w:rPr>
          <w:rFonts w:hint="eastAsia" w:hAnsi="仿宋" w:eastAsia="仿宋_GB2312"/>
        </w:rPr>
        <w:t>.</w:t>
      </w:r>
      <w:r>
        <w:rPr>
          <w:rFonts w:hint="eastAsia" w:hAnsi="仿宋" w:eastAsia="仿宋_GB2312"/>
          <w:sz w:val="32"/>
          <w:szCs w:val="32"/>
        </w:rPr>
        <w:t>参加继续教育培训证书或证明材料。</w:t>
      </w:r>
    </w:p>
    <w:p>
      <w:pPr>
        <w:spacing w:line="600" w:lineRule="exact"/>
        <w:ind w:firstLine="640" w:firstLineChars="200"/>
        <w:rPr>
          <w:rFonts w:hint="eastAsia" w:hAnsi="仿宋" w:eastAsia="仿宋_GB2312"/>
          <w:sz w:val="32"/>
          <w:szCs w:val="32"/>
        </w:rPr>
      </w:pPr>
      <w:r>
        <w:rPr>
          <w:rFonts w:hint="eastAsia" w:ascii="楷体_GB2312" w:hAnsi="仿宋" w:eastAsia="楷体_GB2312"/>
          <w:b w:val="0"/>
          <w:sz w:val="32"/>
          <w:szCs w:val="32"/>
        </w:rPr>
        <w:t>（四）评审表。</w:t>
      </w:r>
      <w:r>
        <w:rPr>
          <w:rFonts w:hint="eastAsia" w:hAnsi="仿宋" w:eastAsia="仿宋_GB2312"/>
          <w:sz w:val="32"/>
          <w:szCs w:val="32"/>
        </w:rPr>
        <w:t>根据参评人员录入的基本信息，学历信息等，系统会自动生成《评审表》，无需参评人员自己填写。公示证明由推荐单位登录系统上传。</w:t>
      </w:r>
    </w:p>
    <w:p/>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636E55"/>
    <w:multiLevelType w:val="multilevel"/>
    <w:tmpl w:val="1B636E55"/>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8878EF"/>
    <w:rsid w:val="248878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方正小标宋简体" w:cs="Times New Roman"/>
      <w:kern w:val="2"/>
      <w:sz w:val="32"/>
      <w:szCs w:val="3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2021-01-06T06:57:00Z</dcterms:created>
  <dc:creator>Good Riddance</dc:creator>
  <cp:lastModifiedBy>Good Riddance</cp:lastModifiedBy>
  <dcterms:modified xsi:type="dcterms:W3CDTF">2021-01-06T06:57:57Z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