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9070"/>
        </w:tabs>
        <w:ind w:left="0" w:leftChars="0"/>
        <w:jc w:val="center"/>
        <w:rPr>
          <w:rFonts w:ascii="华文中宋" w:hAnsi="华文中宋" w:eastAsia="华文中宋"/>
          <w:sz w:val="84"/>
        </w:rPr>
      </w:pPr>
    </w:p>
    <w:p>
      <w:pPr>
        <w:pStyle w:val="11"/>
        <w:tabs>
          <w:tab w:val="right" w:leader="dot" w:pos="9070"/>
        </w:tabs>
        <w:ind w:left="0" w:leftChars="0"/>
        <w:jc w:val="center"/>
        <w:rPr>
          <w:rFonts w:ascii="华文中宋" w:hAnsi="华文中宋" w:eastAsia="华文中宋"/>
          <w:sz w:val="84"/>
        </w:rPr>
      </w:pPr>
    </w:p>
    <w:p>
      <w:pPr>
        <w:pStyle w:val="11"/>
        <w:tabs>
          <w:tab w:val="right" w:leader="dot" w:pos="9070"/>
        </w:tabs>
        <w:ind w:left="0" w:leftChars="0"/>
        <w:jc w:val="center"/>
        <w:rPr>
          <w:rFonts w:ascii="华文中宋" w:hAnsi="华文中宋" w:eastAsia="华文中宋"/>
          <w:sz w:val="84"/>
        </w:rPr>
      </w:pPr>
      <w:r>
        <w:rPr>
          <w:rFonts w:hint="eastAsia" w:ascii="华文中宋" w:hAnsi="华文中宋" w:eastAsia="华文中宋"/>
          <w:sz w:val="84"/>
          <w:lang w:eastAsia="zh-CN"/>
        </w:rPr>
        <w:t>陕西</w:t>
      </w:r>
      <w:r>
        <w:rPr>
          <w:rFonts w:hint="eastAsia" w:ascii="华文中宋" w:hAnsi="华文中宋" w:eastAsia="华文中宋"/>
          <w:sz w:val="84"/>
        </w:rPr>
        <w:t>省通信管理局</w:t>
      </w:r>
    </w:p>
    <w:p>
      <w:pPr>
        <w:jc w:val="center"/>
        <w:rPr>
          <w:rFonts w:ascii="华文中宋" w:hAnsi="华文中宋" w:eastAsia="华文中宋"/>
          <w:sz w:val="84"/>
        </w:rPr>
      </w:pPr>
      <w:r>
        <w:rPr>
          <w:rFonts w:hint="eastAsia" w:ascii="华文中宋" w:hAnsi="华文中宋" w:eastAsia="华文中宋"/>
          <w:sz w:val="84"/>
        </w:rPr>
        <w:t>2022年度部门决算</w:t>
      </w:r>
    </w:p>
    <w:p>
      <w:pPr>
        <w:jc w:val="center"/>
        <w:rPr>
          <w:rFonts w:ascii="华文中宋" w:hAnsi="华文中宋"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jc w:val="center"/>
        <w:rPr>
          <w:rFonts w:ascii="Times New Roman" w:hAnsi="Times New Roman" w:eastAsia="华文中宋"/>
          <w:szCs w:val="21"/>
        </w:rPr>
      </w:pPr>
    </w:p>
    <w:p>
      <w:pPr>
        <w:pStyle w:val="11"/>
        <w:tabs>
          <w:tab w:val="right" w:leader="dot" w:pos="9070"/>
        </w:tabs>
        <w:ind w:left="0" w:leftChars="0"/>
        <w:jc w:val="center"/>
        <w:rPr>
          <w:rFonts w:ascii="Times New Roman" w:hAnsi="Times New Roman"/>
          <w:b/>
          <w:bCs/>
          <w:sz w:val="44"/>
        </w:rPr>
      </w:pPr>
    </w:p>
    <w:p>
      <w:pPr>
        <w:pStyle w:val="11"/>
        <w:tabs>
          <w:tab w:val="right" w:leader="dot" w:pos="9070"/>
        </w:tabs>
        <w:ind w:left="0" w:leftChars="0"/>
        <w:jc w:val="center"/>
        <w:rPr>
          <w:rFonts w:ascii="Times New Roman" w:hAnsi="Times New Roman"/>
          <w:b/>
          <w:bCs/>
          <w:sz w:val="44"/>
        </w:rPr>
      </w:pPr>
    </w:p>
    <w:p>
      <w:pPr>
        <w:pStyle w:val="11"/>
        <w:tabs>
          <w:tab w:val="right" w:leader="dot" w:pos="9070"/>
        </w:tabs>
        <w:ind w:left="0" w:leftChars="0"/>
        <w:jc w:val="center"/>
        <w:rPr>
          <w:rFonts w:ascii="Times New Roman" w:hAnsi="Times New Roman"/>
          <w:b/>
          <w:bCs/>
          <w:sz w:val="44"/>
        </w:rPr>
      </w:pPr>
    </w:p>
    <w:p>
      <w:pPr>
        <w:pStyle w:val="11"/>
        <w:tabs>
          <w:tab w:val="right" w:leader="dot" w:pos="9070"/>
        </w:tabs>
        <w:ind w:left="0" w:leftChars="0"/>
        <w:jc w:val="cente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rPr>
          <w:rFonts w:ascii="Times New Roman" w:hAnsi="Times New Roman"/>
          <w:b/>
          <w:bCs/>
          <w:sz w:val="44"/>
        </w:rPr>
      </w:pPr>
    </w:p>
    <w:p>
      <w:pPr>
        <w:pStyle w:val="11"/>
        <w:tabs>
          <w:tab w:val="right" w:leader="dot" w:pos="9070"/>
        </w:tabs>
        <w:ind w:left="0" w:leftChars="0"/>
        <w:jc w:val="center"/>
        <w:rPr>
          <w:rFonts w:ascii="Times New Roman" w:hAnsi="Times New Roman"/>
          <w:b/>
          <w:bCs/>
          <w:sz w:val="44"/>
        </w:rPr>
      </w:pPr>
    </w:p>
    <w:p>
      <w:pPr>
        <w:pStyle w:val="11"/>
        <w:tabs>
          <w:tab w:val="right" w:leader="dot" w:pos="9070"/>
        </w:tabs>
        <w:ind w:left="0" w:leftChars="0"/>
        <w:jc w:val="center"/>
        <w:rPr>
          <w:rFonts w:ascii="Times New Roman" w:hAnsi="Times New Roman"/>
          <w:b/>
          <w:bCs/>
          <w:sz w:val="44"/>
        </w:rPr>
      </w:pPr>
      <w:r>
        <w:rPr>
          <w:rFonts w:hint="eastAsia" w:ascii="Times New Roman" w:hAnsi="Times New Roman"/>
          <w:b/>
          <w:bCs/>
          <w:sz w:val="44"/>
        </w:rPr>
        <w:t>二〇二三年八月</w:t>
      </w:r>
    </w:p>
    <w:p>
      <w:pPr>
        <w:spacing w:line="560" w:lineRule="exact"/>
        <w:jc w:val="center"/>
        <w:rPr>
          <w:rFonts w:asciiTheme="majorEastAsia" w:hAnsiTheme="majorEastAsia" w:eastAsiaTheme="majorEastAsia"/>
          <w:sz w:val="32"/>
          <w:szCs w:val="32"/>
        </w:rPr>
      </w:pPr>
    </w:p>
    <w:p>
      <w:pPr>
        <w:spacing w:line="560" w:lineRule="exact"/>
        <w:jc w:val="center"/>
        <w:rPr>
          <w:rFonts w:asciiTheme="majorEastAsia" w:hAnsiTheme="majorEastAsia" w:eastAsiaTheme="majorEastAsia"/>
          <w:sz w:val="32"/>
          <w:szCs w:val="32"/>
        </w:rPr>
      </w:pPr>
    </w:p>
    <w:p>
      <w:pPr>
        <w:spacing w:line="560" w:lineRule="exact"/>
        <w:jc w:val="center"/>
        <w:rPr>
          <w:rFonts w:asciiTheme="majorEastAsia" w:hAnsiTheme="majorEastAsia" w:eastAsiaTheme="majorEastAsia"/>
          <w:sz w:val="32"/>
          <w:szCs w:val="32"/>
        </w:rPr>
      </w:pPr>
    </w:p>
    <w:sdt>
      <w:sdtPr>
        <w:rPr>
          <w:rFonts w:asciiTheme="minorHAnsi" w:hAnsiTheme="minorHAnsi" w:eastAsiaTheme="minorEastAsia" w:cstheme="minorBidi"/>
          <w:b w:val="0"/>
          <w:bCs w:val="0"/>
          <w:color w:val="auto"/>
          <w:kern w:val="2"/>
          <w:sz w:val="21"/>
          <w:szCs w:val="22"/>
          <w:lang w:val="zh-CN"/>
        </w:rPr>
        <w:id w:val="1033864813"/>
      </w:sdtPr>
      <w:sdtEndPr>
        <w:rPr>
          <w:rFonts w:asciiTheme="minorHAnsi" w:hAnsiTheme="minorHAnsi" w:eastAsiaTheme="minorEastAsia" w:cstheme="minorBidi"/>
          <w:b w:val="0"/>
          <w:bCs w:val="0"/>
          <w:color w:val="auto"/>
          <w:kern w:val="2"/>
          <w:sz w:val="21"/>
          <w:szCs w:val="22"/>
          <w:lang w:val="en-US"/>
        </w:rPr>
      </w:sdtEndPr>
      <w:sdtContent>
        <w:p>
          <w:pPr>
            <w:pStyle w:val="24"/>
            <w:jc w:val="center"/>
            <w:rPr>
              <w:color w:val="auto"/>
              <w:sz w:val="44"/>
              <w:szCs w:val="44"/>
              <w:lang w:val="zh-CN"/>
            </w:rPr>
          </w:pPr>
          <w:r>
            <w:rPr>
              <w:color w:val="auto"/>
              <w:sz w:val="44"/>
              <w:szCs w:val="44"/>
              <w:lang w:val="zh-CN"/>
            </w:rPr>
            <w:t>目录</w:t>
          </w:r>
        </w:p>
        <w:p>
          <w:pPr>
            <w:rPr>
              <w:lang w:val="zh-CN"/>
            </w:rPr>
          </w:pPr>
        </w:p>
        <w:p>
          <w:pPr>
            <w:pStyle w:val="10"/>
            <w:rPr>
              <w:kern w:val="2"/>
              <w:sz w:val="21"/>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"_Toc141265095" </w:instrText>
          </w:r>
          <w:r>
            <w:fldChar w:fldCharType="separate"/>
          </w:r>
          <w:r>
            <w:rPr>
              <w:rStyle w:val="15"/>
              <w:rFonts w:hint="eastAsia" w:ascii="黑体" w:eastAsia="黑体"/>
              <w:u w:val="none"/>
            </w:rPr>
            <w:t>第一部分</w:t>
          </w:r>
          <w:r>
            <w:rPr>
              <w:rStyle w:val="15"/>
              <w:rFonts w:hint="eastAsia" w:ascii="黑体" w:eastAsia="黑体"/>
              <w:u w:val="none"/>
            </w:rPr>
            <w:fldChar w:fldCharType="end"/>
          </w:r>
          <w:r>
            <w:rPr>
              <w:rStyle w:val="15"/>
              <w:rFonts w:hint="eastAsia"/>
              <w:u w:val="none"/>
            </w:rPr>
            <w:t xml:space="preserve">  </w:t>
          </w:r>
          <w:r>
            <w:fldChar w:fldCharType="begin"/>
          </w:r>
          <w:r>
            <w:instrText xml:space="preserve"> HYPERLINK \l "_Toc141265096" </w:instrText>
          </w:r>
          <w:r>
            <w:fldChar w:fldCharType="separate"/>
          </w:r>
          <w:r>
            <w:rPr>
              <w:rStyle w:val="15"/>
              <w:rFonts w:hint="eastAsia" w:ascii="黑体" w:hAnsi="Times New Roman" w:eastAsia="黑体"/>
              <w:u w:val="none"/>
              <w:lang w:eastAsia="zh-CN"/>
            </w:rPr>
            <w:t>陕西</w:t>
          </w:r>
          <w:r>
            <w:rPr>
              <w:rStyle w:val="15"/>
              <w:rFonts w:hint="eastAsia" w:ascii="黑体" w:hAnsi="Times New Roman" w:eastAsia="黑体"/>
              <w:u w:val="none"/>
            </w:rPr>
            <w:t>省通信管理局概况</w:t>
          </w:r>
          <w:r>
            <w:tab/>
          </w:r>
          <w:r>
            <w:fldChar w:fldCharType="begin"/>
          </w:r>
          <w:r>
            <w:instrText xml:space="preserve"> PAGEREF _Toc141265096 \h </w:instrText>
          </w:r>
          <w:r>
            <w:fldChar w:fldCharType="separate"/>
          </w:r>
          <w:r>
            <w:t>1</w:t>
          </w:r>
          <w:r>
            <w:fldChar w:fldCharType="end"/>
          </w:r>
          <w:r>
            <w:fldChar w:fldCharType="end"/>
          </w:r>
        </w:p>
        <w:p>
          <w:pPr>
            <w:pStyle w:val="11"/>
            <w:tabs>
              <w:tab w:val="right" w:leader="dot" w:pos="9736"/>
            </w:tabs>
          </w:pPr>
          <w:r>
            <w:fldChar w:fldCharType="begin"/>
          </w:r>
          <w:r>
            <w:instrText xml:space="preserve"> HYPERLINK \l "_Toc141265097" </w:instrText>
          </w:r>
          <w:r>
            <w:fldChar w:fldCharType="separate"/>
          </w:r>
          <w:r>
            <w:rPr>
              <w:rStyle w:val="15"/>
              <w:rFonts w:hint="eastAsia" w:ascii="Times New Roman" w:hAnsi="Times New Roman" w:cs="黑体"/>
              <w:u w:val="none"/>
            </w:rPr>
            <w:t>一、部门职责</w:t>
          </w:r>
          <w:r>
            <w:tab/>
          </w:r>
          <w:r>
            <w:fldChar w:fldCharType="begin"/>
          </w:r>
          <w:r>
            <w:instrText xml:space="preserve"> PAGEREF _Toc141265097 \h </w:instrText>
          </w:r>
          <w:r>
            <w:fldChar w:fldCharType="separate"/>
          </w:r>
          <w:r>
            <w:t>2</w:t>
          </w:r>
          <w:r>
            <w:fldChar w:fldCharType="end"/>
          </w:r>
          <w:r>
            <w:fldChar w:fldCharType="end"/>
          </w:r>
        </w:p>
        <w:p>
          <w:pPr>
            <w:pStyle w:val="11"/>
            <w:tabs>
              <w:tab w:val="right" w:leader="dot" w:pos="9736"/>
            </w:tabs>
          </w:pPr>
          <w:r>
            <w:fldChar w:fldCharType="begin"/>
          </w:r>
          <w:r>
            <w:instrText xml:space="preserve"> HYPERLINK \l "_Toc141265098" </w:instrText>
          </w:r>
          <w:r>
            <w:fldChar w:fldCharType="separate"/>
          </w:r>
          <w:r>
            <w:rPr>
              <w:rStyle w:val="15"/>
              <w:rFonts w:hint="eastAsia" w:ascii="Times New Roman" w:hAnsi="Times New Roman" w:cs="黑体"/>
              <w:u w:val="none"/>
            </w:rPr>
            <w:t>二、机构设置</w:t>
          </w:r>
          <w:r>
            <w:tab/>
          </w:r>
          <w:r>
            <w:fldChar w:fldCharType="begin"/>
          </w:r>
          <w:r>
            <w:instrText xml:space="preserve"> PAGEREF _Toc141265098 \h </w:instrText>
          </w:r>
          <w:r>
            <w:fldChar w:fldCharType="separate"/>
          </w:r>
          <w:r>
            <w:t>2</w:t>
          </w:r>
          <w:r>
            <w:fldChar w:fldCharType="end"/>
          </w:r>
          <w:r>
            <w:fldChar w:fldCharType="end"/>
          </w:r>
        </w:p>
        <w:p>
          <w:pPr>
            <w:pStyle w:val="10"/>
            <w:rPr>
              <w:kern w:val="2"/>
              <w:sz w:val="21"/>
            </w:rPr>
          </w:pPr>
          <w:r>
            <w:fldChar w:fldCharType="begin"/>
          </w:r>
          <w:r>
            <w:instrText xml:space="preserve"> HYPERLINK \l "_Toc141265099" </w:instrText>
          </w:r>
          <w:r>
            <w:fldChar w:fldCharType="separate"/>
          </w:r>
          <w:r>
            <w:rPr>
              <w:rStyle w:val="15"/>
              <w:rFonts w:hint="eastAsia" w:ascii="黑体" w:hAnsi="Times New Roman" w:eastAsia="黑体"/>
              <w:u w:val="none"/>
            </w:rPr>
            <w:t>第二部分</w:t>
          </w:r>
          <w:r>
            <w:rPr>
              <w:rStyle w:val="15"/>
              <w:rFonts w:hint="eastAsia" w:ascii="黑体" w:hAnsi="Times New Roman" w:eastAsia="黑体"/>
              <w:u w:val="none"/>
            </w:rPr>
            <w:fldChar w:fldCharType="end"/>
          </w:r>
          <w:r>
            <w:rPr>
              <w:rStyle w:val="15"/>
              <w:rFonts w:hint="eastAsia"/>
              <w:u w:val="none"/>
            </w:rPr>
            <w:t xml:space="preserve">  </w:t>
          </w:r>
          <w:r>
            <w:fldChar w:fldCharType="begin"/>
          </w:r>
          <w:r>
            <w:instrText xml:space="preserve"> HYPERLINK \l "_Toc141265100" </w:instrText>
          </w:r>
          <w:r>
            <w:fldChar w:fldCharType="separate"/>
          </w:r>
          <w:r>
            <w:rPr>
              <w:rStyle w:val="15"/>
              <w:rFonts w:ascii="黑体" w:hAnsi="Times New Roman" w:eastAsia="黑体"/>
              <w:u w:val="none"/>
            </w:rPr>
            <w:t>2022</w:t>
          </w:r>
          <w:r>
            <w:rPr>
              <w:rStyle w:val="15"/>
              <w:rFonts w:hint="eastAsia" w:ascii="黑体" w:hAnsi="Times New Roman" w:eastAsia="黑体"/>
              <w:u w:val="none"/>
            </w:rPr>
            <w:t>年度部门决算报表</w:t>
          </w:r>
          <w:r>
            <w:tab/>
          </w:r>
          <w:r>
            <w:fldChar w:fldCharType="begin"/>
          </w:r>
          <w:r>
            <w:instrText xml:space="preserve"> PAGEREF _Toc141265100 \h </w:instrText>
          </w:r>
          <w:r>
            <w:fldChar w:fldCharType="separate"/>
          </w:r>
          <w:r>
            <w:t>4</w:t>
          </w:r>
          <w:r>
            <w:fldChar w:fldCharType="end"/>
          </w:r>
          <w:r>
            <w:fldChar w:fldCharType="end"/>
          </w:r>
        </w:p>
        <w:p>
          <w:pPr>
            <w:pStyle w:val="11"/>
            <w:tabs>
              <w:tab w:val="right" w:leader="dot" w:pos="9736"/>
            </w:tabs>
          </w:pPr>
          <w:r>
            <w:fldChar w:fldCharType="begin"/>
          </w:r>
          <w:r>
            <w:instrText xml:space="preserve"> HYPERLINK \l "_Toc141265101" </w:instrText>
          </w:r>
          <w:r>
            <w:fldChar w:fldCharType="separate"/>
          </w:r>
          <w:r>
            <w:rPr>
              <w:rStyle w:val="15"/>
              <w:rFonts w:hint="eastAsia"/>
              <w:kern w:val="0"/>
              <w:u w:val="none"/>
            </w:rPr>
            <w:t>收入支出决算总表</w:t>
          </w:r>
          <w:r>
            <w:tab/>
          </w:r>
          <w:r>
            <w:fldChar w:fldCharType="begin"/>
          </w:r>
          <w:r>
            <w:instrText xml:space="preserve"> PAGEREF _Toc141265101 \h </w:instrText>
          </w:r>
          <w:r>
            <w:fldChar w:fldCharType="separate"/>
          </w:r>
          <w:r>
            <w:t>5</w:t>
          </w:r>
          <w:r>
            <w:fldChar w:fldCharType="end"/>
          </w:r>
          <w:r>
            <w:fldChar w:fldCharType="end"/>
          </w:r>
        </w:p>
        <w:p>
          <w:pPr>
            <w:pStyle w:val="11"/>
            <w:tabs>
              <w:tab w:val="right" w:leader="dot" w:pos="9736"/>
            </w:tabs>
          </w:pPr>
          <w:r>
            <w:fldChar w:fldCharType="begin"/>
          </w:r>
          <w:r>
            <w:instrText xml:space="preserve"> HYPERLINK \l "_Toc141265102" </w:instrText>
          </w:r>
          <w:r>
            <w:fldChar w:fldCharType="separate"/>
          </w:r>
          <w:r>
            <w:rPr>
              <w:rStyle w:val="15"/>
              <w:rFonts w:hint="eastAsia"/>
              <w:kern w:val="0"/>
              <w:u w:val="none"/>
            </w:rPr>
            <w:t>收入决算表</w:t>
          </w:r>
          <w:r>
            <w:tab/>
          </w:r>
          <w:r>
            <w:fldChar w:fldCharType="begin"/>
          </w:r>
          <w:r>
            <w:instrText xml:space="preserve"> PAGEREF _Toc141265102 \h </w:instrText>
          </w:r>
          <w:r>
            <w:fldChar w:fldCharType="separate"/>
          </w:r>
          <w:r>
            <w:t>7</w:t>
          </w:r>
          <w:r>
            <w:fldChar w:fldCharType="end"/>
          </w:r>
          <w:r>
            <w:fldChar w:fldCharType="end"/>
          </w:r>
        </w:p>
        <w:p>
          <w:pPr>
            <w:pStyle w:val="11"/>
            <w:tabs>
              <w:tab w:val="right" w:leader="dot" w:pos="9736"/>
            </w:tabs>
          </w:pPr>
          <w:r>
            <w:fldChar w:fldCharType="begin"/>
          </w:r>
          <w:r>
            <w:instrText xml:space="preserve"> HYPERLINK \l "_Toc141265103" </w:instrText>
          </w:r>
          <w:r>
            <w:fldChar w:fldCharType="separate"/>
          </w:r>
          <w:r>
            <w:rPr>
              <w:rStyle w:val="15"/>
              <w:rFonts w:hint="eastAsia"/>
              <w:kern w:val="0"/>
              <w:u w:val="none"/>
            </w:rPr>
            <w:t>支出决算表</w:t>
          </w:r>
          <w:r>
            <w:tab/>
          </w:r>
          <w:r>
            <w:rPr>
              <w:rFonts w:hint="eastAsia"/>
              <w:lang w:val="en-US" w:eastAsia="zh-CN"/>
            </w:rPr>
            <w:t>8</w:t>
          </w:r>
          <w:r>
            <w:fldChar w:fldCharType="end"/>
          </w:r>
        </w:p>
        <w:p>
          <w:pPr>
            <w:pStyle w:val="11"/>
            <w:tabs>
              <w:tab w:val="right" w:leader="dot" w:pos="9736"/>
            </w:tabs>
          </w:pPr>
          <w:r>
            <w:fldChar w:fldCharType="begin"/>
          </w:r>
          <w:r>
            <w:instrText xml:space="preserve"> HYPERLINK \l "_Toc141265104" </w:instrText>
          </w:r>
          <w:r>
            <w:fldChar w:fldCharType="separate"/>
          </w:r>
          <w:r>
            <w:rPr>
              <w:rStyle w:val="15"/>
              <w:rFonts w:hint="eastAsia"/>
              <w:kern w:val="0"/>
              <w:u w:val="none"/>
            </w:rPr>
            <w:t>财政拨款收入支出决算总表</w:t>
          </w:r>
          <w:r>
            <w:tab/>
          </w:r>
          <w:r>
            <w:fldChar w:fldCharType="begin"/>
          </w:r>
          <w:r>
            <w:instrText xml:space="preserve"> PAGEREF _Toc141265104 \h </w:instrText>
          </w:r>
          <w:r>
            <w:fldChar w:fldCharType="separate"/>
          </w:r>
          <w:r>
            <w:t>9</w:t>
          </w:r>
          <w:r>
            <w:fldChar w:fldCharType="end"/>
          </w:r>
          <w:r>
            <w:fldChar w:fldCharType="end"/>
          </w:r>
        </w:p>
        <w:p>
          <w:pPr>
            <w:pStyle w:val="11"/>
            <w:tabs>
              <w:tab w:val="right" w:leader="dot" w:pos="9736"/>
            </w:tabs>
          </w:pPr>
          <w:r>
            <w:fldChar w:fldCharType="begin"/>
          </w:r>
          <w:r>
            <w:instrText xml:space="preserve"> HYPERLINK \l "_Toc141265105" </w:instrText>
          </w:r>
          <w:r>
            <w:fldChar w:fldCharType="separate"/>
          </w:r>
          <w:r>
            <w:rPr>
              <w:rStyle w:val="15"/>
              <w:rFonts w:hint="eastAsia"/>
              <w:kern w:val="0"/>
              <w:u w:val="none"/>
            </w:rPr>
            <w:t>一般公共预算财政拨款支出决算表</w:t>
          </w:r>
          <w:r>
            <w:tab/>
          </w:r>
          <w:r>
            <w:fldChar w:fldCharType="begin"/>
          </w:r>
          <w:r>
            <w:instrText xml:space="preserve"> PAGEREF _Toc141265105 \h </w:instrText>
          </w:r>
          <w:r>
            <w:fldChar w:fldCharType="separate"/>
          </w:r>
          <w:r>
            <w:t>12</w:t>
          </w:r>
          <w:r>
            <w:fldChar w:fldCharType="end"/>
          </w:r>
          <w:r>
            <w:fldChar w:fldCharType="end"/>
          </w:r>
        </w:p>
        <w:p>
          <w:pPr>
            <w:pStyle w:val="11"/>
            <w:tabs>
              <w:tab w:val="right" w:leader="dot" w:pos="9736"/>
            </w:tabs>
          </w:pPr>
          <w:r>
            <w:fldChar w:fldCharType="begin"/>
          </w:r>
          <w:r>
            <w:instrText xml:space="preserve"> HYPERLINK \l "_Toc141265106" </w:instrText>
          </w:r>
          <w:r>
            <w:fldChar w:fldCharType="separate"/>
          </w:r>
          <w:r>
            <w:rPr>
              <w:rStyle w:val="15"/>
              <w:rFonts w:hint="eastAsia"/>
              <w:kern w:val="0"/>
              <w:u w:val="none"/>
            </w:rPr>
            <w:t>一般公共预算财政拨款基本支出决算明细表</w:t>
          </w:r>
          <w:r>
            <w:tab/>
          </w:r>
          <w:r>
            <w:fldChar w:fldCharType="begin"/>
          </w:r>
          <w:r>
            <w:instrText xml:space="preserve"> PAGEREF _Toc141265106 \h </w:instrText>
          </w:r>
          <w:r>
            <w:fldChar w:fldCharType="separate"/>
          </w:r>
          <w:r>
            <w:t>13</w:t>
          </w:r>
          <w:r>
            <w:fldChar w:fldCharType="end"/>
          </w:r>
          <w:r>
            <w:fldChar w:fldCharType="end"/>
          </w:r>
        </w:p>
        <w:p>
          <w:pPr>
            <w:pStyle w:val="11"/>
            <w:tabs>
              <w:tab w:val="right" w:leader="dot" w:pos="9736"/>
            </w:tabs>
          </w:pPr>
          <w:r>
            <w:fldChar w:fldCharType="begin"/>
          </w:r>
          <w:r>
            <w:instrText xml:space="preserve"> HYPERLINK \l "_Toc141265107" </w:instrText>
          </w:r>
          <w:r>
            <w:fldChar w:fldCharType="separate"/>
          </w:r>
          <w:r>
            <w:rPr>
              <w:rStyle w:val="15"/>
              <w:rFonts w:hint="eastAsia"/>
              <w:u w:val="none"/>
            </w:rPr>
            <w:t>政府性基金预算财政拨款收入支出决算表</w:t>
          </w:r>
          <w:r>
            <w:tab/>
          </w:r>
          <w:r>
            <w:fldChar w:fldCharType="begin"/>
          </w:r>
          <w:r>
            <w:instrText xml:space="preserve"> PAGEREF _Toc141265107 \h </w:instrText>
          </w:r>
          <w:r>
            <w:fldChar w:fldCharType="separate"/>
          </w:r>
          <w:r>
            <w:t>15</w:t>
          </w:r>
          <w:r>
            <w:fldChar w:fldCharType="end"/>
          </w:r>
          <w:r>
            <w:fldChar w:fldCharType="end"/>
          </w:r>
        </w:p>
        <w:p>
          <w:pPr>
            <w:pStyle w:val="11"/>
            <w:tabs>
              <w:tab w:val="right" w:leader="dot" w:pos="9736"/>
            </w:tabs>
          </w:pPr>
          <w:r>
            <w:fldChar w:fldCharType="begin"/>
          </w:r>
          <w:r>
            <w:instrText xml:space="preserve"> HYPERLINK \l "_Toc141265108" </w:instrText>
          </w:r>
          <w:r>
            <w:fldChar w:fldCharType="separate"/>
          </w:r>
          <w:r>
            <w:rPr>
              <w:rStyle w:val="15"/>
              <w:rFonts w:hint="eastAsia"/>
              <w:kern w:val="0"/>
              <w:u w:val="none"/>
            </w:rPr>
            <w:t>国有资本经营预算财政拨款支出决算表</w:t>
          </w:r>
          <w:r>
            <w:tab/>
          </w:r>
          <w:r>
            <w:fldChar w:fldCharType="begin"/>
          </w:r>
          <w:r>
            <w:instrText xml:space="preserve"> PAGEREF _Toc141265108 \h </w:instrText>
          </w:r>
          <w:r>
            <w:fldChar w:fldCharType="separate"/>
          </w:r>
          <w:r>
            <w:t>16</w:t>
          </w:r>
          <w:r>
            <w:fldChar w:fldCharType="end"/>
          </w:r>
          <w:r>
            <w:fldChar w:fldCharType="end"/>
          </w:r>
        </w:p>
        <w:p>
          <w:pPr>
            <w:pStyle w:val="11"/>
            <w:tabs>
              <w:tab w:val="right" w:leader="dot" w:pos="9736"/>
            </w:tabs>
          </w:pPr>
          <w:r>
            <w:fldChar w:fldCharType="begin"/>
          </w:r>
          <w:r>
            <w:instrText xml:space="preserve"> HYPERLINK \l "_Toc141265109" </w:instrText>
          </w:r>
          <w:r>
            <w:fldChar w:fldCharType="separate"/>
          </w:r>
          <w:r>
            <w:rPr>
              <w:rStyle w:val="15"/>
              <w:rFonts w:hint="eastAsia"/>
              <w:kern w:val="0"/>
              <w:u w:val="none"/>
            </w:rPr>
            <w:t>财政拨款“三公”经费支出决算表</w:t>
          </w:r>
          <w:r>
            <w:tab/>
          </w:r>
          <w:r>
            <w:fldChar w:fldCharType="begin"/>
          </w:r>
          <w:r>
            <w:instrText xml:space="preserve"> PAGEREF _Toc141265109 \h </w:instrText>
          </w:r>
          <w:r>
            <w:fldChar w:fldCharType="separate"/>
          </w:r>
          <w:r>
            <w:t>17</w:t>
          </w:r>
          <w:r>
            <w:fldChar w:fldCharType="end"/>
          </w:r>
          <w:r>
            <w:fldChar w:fldCharType="end"/>
          </w:r>
        </w:p>
        <w:p>
          <w:pPr>
            <w:pStyle w:val="10"/>
            <w:rPr>
              <w:kern w:val="2"/>
              <w:sz w:val="21"/>
            </w:rPr>
          </w:pPr>
          <w:r>
            <w:fldChar w:fldCharType="begin"/>
          </w:r>
          <w:r>
            <w:instrText xml:space="preserve"> HYPERLINK \l "_Toc141265110" </w:instrText>
          </w:r>
          <w:r>
            <w:fldChar w:fldCharType="separate"/>
          </w:r>
          <w:r>
            <w:rPr>
              <w:rStyle w:val="15"/>
              <w:rFonts w:hint="eastAsia" w:ascii="黑体" w:eastAsia="黑体"/>
              <w:u w:val="none"/>
            </w:rPr>
            <w:t>第三部分</w:t>
          </w:r>
          <w:r>
            <w:rPr>
              <w:rStyle w:val="15"/>
              <w:rFonts w:hint="eastAsia" w:ascii="黑体" w:eastAsia="黑体"/>
              <w:u w:val="none"/>
            </w:rPr>
            <w:fldChar w:fldCharType="end"/>
          </w:r>
          <w:r>
            <w:rPr>
              <w:rStyle w:val="15"/>
              <w:rFonts w:hint="eastAsia"/>
              <w:u w:val="none"/>
            </w:rPr>
            <w:t xml:space="preserve">  </w:t>
          </w:r>
          <w:r>
            <w:fldChar w:fldCharType="begin"/>
          </w:r>
          <w:r>
            <w:instrText xml:space="preserve"> HYPERLINK \l "_Toc141265111" </w:instrText>
          </w:r>
          <w:r>
            <w:fldChar w:fldCharType="separate"/>
          </w:r>
          <w:r>
            <w:rPr>
              <w:rStyle w:val="15"/>
              <w:rFonts w:ascii="黑体" w:eastAsia="黑体"/>
              <w:u w:val="none"/>
            </w:rPr>
            <w:t>2022</w:t>
          </w:r>
          <w:r>
            <w:rPr>
              <w:rStyle w:val="15"/>
              <w:rFonts w:hint="eastAsia" w:ascii="黑体" w:eastAsia="黑体"/>
              <w:u w:val="none"/>
            </w:rPr>
            <w:t>年度部门决算情况说明</w:t>
          </w:r>
          <w:r>
            <w:tab/>
          </w:r>
          <w:r>
            <w:fldChar w:fldCharType="begin"/>
          </w:r>
          <w:r>
            <w:instrText xml:space="preserve"> PAGEREF _Toc141265111 \h </w:instrText>
          </w:r>
          <w:r>
            <w:fldChar w:fldCharType="separate"/>
          </w:r>
          <w:r>
            <w:t>18</w:t>
          </w:r>
          <w:r>
            <w:fldChar w:fldCharType="end"/>
          </w:r>
          <w:r>
            <w:fldChar w:fldCharType="end"/>
          </w:r>
        </w:p>
        <w:p>
          <w:pPr>
            <w:pStyle w:val="11"/>
            <w:tabs>
              <w:tab w:val="right" w:leader="dot" w:pos="9736"/>
            </w:tabs>
          </w:pPr>
          <w:r>
            <w:fldChar w:fldCharType="begin"/>
          </w:r>
          <w:r>
            <w:instrText xml:space="preserve"> HYPERLINK \l "_Toc141265112" </w:instrText>
          </w:r>
          <w:r>
            <w:fldChar w:fldCharType="separate"/>
          </w:r>
          <w:r>
            <w:rPr>
              <w:rStyle w:val="15"/>
              <w:rFonts w:hint="eastAsia"/>
              <w:u w:val="none"/>
            </w:rPr>
            <w:t>一、收入支出决算总体情况说明</w:t>
          </w:r>
          <w:r>
            <w:tab/>
          </w:r>
          <w:r>
            <w:fldChar w:fldCharType="begin"/>
          </w:r>
          <w:r>
            <w:instrText xml:space="preserve"> PAGEREF _Toc141265112 \h </w:instrText>
          </w:r>
          <w:r>
            <w:fldChar w:fldCharType="separate"/>
          </w:r>
          <w:r>
            <w:t>19</w:t>
          </w:r>
          <w:r>
            <w:fldChar w:fldCharType="end"/>
          </w:r>
          <w:r>
            <w:fldChar w:fldCharType="end"/>
          </w:r>
        </w:p>
        <w:p>
          <w:pPr>
            <w:pStyle w:val="11"/>
            <w:tabs>
              <w:tab w:val="right" w:leader="dot" w:pos="9736"/>
            </w:tabs>
          </w:pPr>
          <w:r>
            <w:fldChar w:fldCharType="begin"/>
          </w:r>
          <w:r>
            <w:instrText xml:space="preserve"> HYPERLINK \l "_Toc141265113" </w:instrText>
          </w:r>
          <w:r>
            <w:fldChar w:fldCharType="separate"/>
          </w:r>
          <w:r>
            <w:rPr>
              <w:rStyle w:val="15"/>
              <w:rFonts w:hint="eastAsia"/>
              <w:u w:val="none"/>
            </w:rPr>
            <w:t>二、收入决算情况说明</w:t>
          </w:r>
          <w:r>
            <w:tab/>
          </w:r>
          <w:r>
            <w:fldChar w:fldCharType="begin"/>
          </w:r>
          <w:r>
            <w:instrText xml:space="preserve"> PAGEREF _Toc141265113 \h </w:instrText>
          </w:r>
          <w:r>
            <w:fldChar w:fldCharType="separate"/>
          </w:r>
          <w:r>
            <w:t>20</w:t>
          </w:r>
          <w:r>
            <w:fldChar w:fldCharType="end"/>
          </w:r>
          <w:r>
            <w:fldChar w:fldCharType="end"/>
          </w:r>
        </w:p>
        <w:p>
          <w:pPr>
            <w:pStyle w:val="11"/>
            <w:tabs>
              <w:tab w:val="right" w:leader="dot" w:pos="9736"/>
            </w:tabs>
          </w:pPr>
          <w:r>
            <w:fldChar w:fldCharType="begin"/>
          </w:r>
          <w:r>
            <w:instrText xml:space="preserve"> HYPERLINK \l "_Toc141265114" </w:instrText>
          </w:r>
          <w:r>
            <w:fldChar w:fldCharType="separate"/>
          </w:r>
          <w:r>
            <w:rPr>
              <w:rStyle w:val="15"/>
              <w:rFonts w:hint="eastAsia"/>
              <w:u w:val="none"/>
            </w:rPr>
            <w:t>三、支出决算情况说明</w:t>
          </w:r>
          <w:r>
            <w:tab/>
          </w:r>
          <w:r>
            <w:fldChar w:fldCharType="begin"/>
          </w:r>
          <w:r>
            <w:instrText xml:space="preserve"> PAGEREF _Toc141265114 \h </w:instrText>
          </w:r>
          <w:r>
            <w:fldChar w:fldCharType="separate"/>
          </w:r>
          <w:r>
            <w:t>21</w:t>
          </w:r>
          <w:r>
            <w:fldChar w:fldCharType="end"/>
          </w:r>
          <w:r>
            <w:fldChar w:fldCharType="end"/>
          </w:r>
        </w:p>
        <w:p>
          <w:pPr>
            <w:pStyle w:val="11"/>
            <w:tabs>
              <w:tab w:val="right" w:leader="dot" w:pos="9736"/>
            </w:tabs>
          </w:pPr>
          <w:r>
            <w:fldChar w:fldCharType="begin"/>
          </w:r>
          <w:r>
            <w:instrText xml:space="preserve"> HYPERLINK \l "_Toc141265115" </w:instrText>
          </w:r>
          <w:r>
            <w:fldChar w:fldCharType="separate"/>
          </w:r>
          <w:r>
            <w:rPr>
              <w:rStyle w:val="15"/>
              <w:rFonts w:hint="eastAsia"/>
              <w:u w:val="none"/>
            </w:rPr>
            <w:t>四、财政拨款收入支出决算总体情况说明</w:t>
          </w:r>
          <w:r>
            <w:tab/>
          </w:r>
          <w:r>
            <w:fldChar w:fldCharType="begin"/>
          </w:r>
          <w:r>
            <w:instrText xml:space="preserve"> PAGEREF _Toc141265115 \h </w:instrText>
          </w:r>
          <w:r>
            <w:fldChar w:fldCharType="separate"/>
          </w:r>
          <w:r>
            <w:t>22</w:t>
          </w:r>
          <w:r>
            <w:fldChar w:fldCharType="end"/>
          </w:r>
          <w:r>
            <w:fldChar w:fldCharType="end"/>
          </w:r>
        </w:p>
        <w:p>
          <w:pPr>
            <w:pStyle w:val="11"/>
            <w:tabs>
              <w:tab w:val="right" w:leader="dot" w:pos="9736"/>
            </w:tabs>
          </w:pPr>
          <w:r>
            <w:fldChar w:fldCharType="begin"/>
          </w:r>
          <w:r>
            <w:instrText xml:space="preserve"> HYPERLINK \l "_Toc141265116" </w:instrText>
          </w:r>
          <w:r>
            <w:fldChar w:fldCharType="separate"/>
          </w:r>
          <w:r>
            <w:rPr>
              <w:rStyle w:val="15"/>
              <w:rFonts w:hint="eastAsia"/>
              <w:u w:val="none"/>
            </w:rPr>
            <w:t>五、一般公共预算财政拨款支出决算情况说明</w:t>
          </w:r>
          <w:r>
            <w:tab/>
          </w:r>
          <w:r>
            <w:fldChar w:fldCharType="begin"/>
          </w:r>
          <w:r>
            <w:instrText xml:space="preserve"> PAGEREF _Toc141265116 \h </w:instrText>
          </w:r>
          <w:r>
            <w:fldChar w:fldCharType="separate"/>
          </w:r>
          <w:r>
            <w:t>23</w:t>
          </w:r>
          <w:r>
            <w:fldChar w:fldCharType="end"/>
          </w:r>
          <w:r>
            <w:fldChar w:fldCharType="end"/>
          </w:r>
        </w:p>
        <w:p>
          <w:pPr>
            <w:pStyle w:val="11"/>
            <w:tabs>
              <w:tab w:val="right" w:leader="dot" w:pos="9736"/>
            </w:tabs>
          </w:pPr>
          <w:r>
            <w:fldChar w:fldCharType="begin"/>
          </w:r>
          <w:r>
            <w:instrText xml:space="preserve"> HYPERLINK \l "_Toc141265119" </w:instrText>
          </w:r>
          <w:r>
            <w:fldChar w:fldCharType="separate"/>
          </w:r>
          <w:r>
            <w:rPr>
              <w:rStyle w:val="15"/>
              <w:rFonts w:hint="eastAsia"/>
              <w:u w:val="none"/>
            </w:rPr>
            <w:t>六、一般公共预算财政拨款基本支出决算情况说明</w:t>
          </w:r>
          <w:r>
            <w:tab/>
          </w:r>
          <w:r>
            <w:fldChar w:fldCharType="begin"/>
          </w:r>
          <w:r>
            <w:instrText xml:space="preserve"> PAGEREF _Toc141265119 \h </w:instrText>
          </w:r>
          <w:r>
            <w:fldChar w:fldCharType="separate"/>
          </w:r>
          <w:r>
            <w:t>26</w:t>
          </w:r>
          <w:r>
            <w:fldChar w:fldCharType="end"/>
          </w:r>
          <w:r>
            <w:fldChar w:fldCharType="end"/>
          </w:r>
        </w:p>
        <w:p>
          <w:pPr>
            <w:pStyle w:val="11"/>
            <w:tabs>
              <w:tab w:val="right" w:leader="dot" w:pos="9736"/>
            </w:tabs>
          </w:pPr>
          <w:r>
            <w:fldChar w:fldCharType="begin"/>
          </w:r>
          <w:r>
            <w:instrText xml:space="preserve"> HYPERLINK \l "_Toc141265120" </w:instrText>
          </w:r>
          <w:r>
            <w:fldChar w:fldCharType="separate"/>
          </w:r>
          <w:r>
            <w:rPr>
              <w:rStyle w:val="15"/>
              <w:rFonts w:hint="eastAsia"/>
              <w:u w:val="none"/>
            </w:rPr>
            <w:t>七、一般公共预算财政拨款“三公”经费支出决算情况说明</w:t>
          </w:r>
          <w:r>
            <w:tab/>
          </w:r>
          <w:r>
            <w:fldChar w:fldCharType="begin"/>
          </w:r>
          <w:r>
            <w:instrText xml:space="preserve"> PAGEREF _Toc141265120 \h </w:instrText>
          </w:r>
          <w:r>
            <w:fldChar w:fldCharType="separate"/>
          </w:r>
          <w:r>
            <w:t>26</w:t>
          </w:r>
          <w:r>
            <w:fldChar w:fldCharType="end"/>
          </w:r>
          <w:r>
            <w:fldChar w:fldCharType="end"/>
          </w:r>
        </w:p>
        <w:p>
          <w:pPr>
            <w:pStyle w:val="11"/>
            <w:tabs>
              <w:tab w:val="right" w:leader="dot" w:pos="9736"/>
            </w:tabs>
          </w:pPr>
          <w:r>
            <w:fldChar w:fldCharType="begin"/>
          </w:r>
          <w:r>
            <w:instrText xml:space="preserve"> HYPERLINK \l "_Toc141265121" </w:instrText>
          </w:r>
          <w:r>
            <w:fldChar w:fldCharType="separate"/>
          </w:r>
          <w:r>
            <w:rPr>
              <w:rStyle w:val="15"/>
              <w:rFonts w:hint="eastAsia" w:ascii="Times New Roman" w:hAnsi="Times New Roman"/>
              <w:u w:val="none"/>
            </w:rPr>
            <w:t>八、预算绩效情况说明</w:t>
          </w:r>
          <w:r>
            <w:tab/>
          </w:r>
          <w:r>
            <w:fldChar w:fldCharType="begin"/>
          </w:r>
          <w:r>
            <w:instrText xml:space="preserve"> PAGEREF _Toc141265121 \h </w:instrText>
          </w:r>
          <w:r>
            <w:fldChar w:fldCharType="separate"/>
          </w:r>
          <w:r>
            <w:t>27</w:t>
          </w:r>
          <w:r>
            <w:fldChar w:fldCharType="end"/>
          </w:r>
          <w:r>
            <w:fldChar w:fldCharType="end"/>
          </w:r>
        </w:p>
        <w:p>
          <w:pPr>
            <w:pStyle w:val="11"/>
            <w:tabs>
              <w:tab w:val="right" w:leader="dot" w:pos="9736"/>
            </w:tabs>
          </w:pPr>
          <w:r>
            <w:fldChar w:fldCharType="begin"/>
          </w:r>
          <w:r>
            <w:instrText xml:space="preserve"> HYPERLINK \l "_Toc141265122" </w:instrText>
          </w:r>
          <w:r>
            <w:fldChar w:fldCharType="separate"/>
          </w:r>
          <w:r>
            <w:rPr>
              <w:rStyle w:val="15"/>
              <w:rFonts w:hint="eastAsia"/>
              <w:u w:val="none"/>
            </w:rPr>
            <w:t>九、其他重要事项的情况说明</w:t>
          </w:r>
          <w:r>
            <w:tab/>
          </w:r>
          <w:r>
            <w:fldChar w:fldCharType="begin"/>
          </w:r>
          <w:r>
            <w:instrText xml:space="preserve"> PAGEREF _Toc141265122 \h </w:instrText>
          </w:r>
          <w:r>
            <w:fldChar w:fldCharType="separate"/>
          </w:r>
          <w:r>
            <w:t>28</w:t>
          </w:r>
          <w:r>
            <w:fldChar w:fldCharType="end"/>
          </w:r>
          <w:r>
            <w:fldChar w:fldCharType="end"/>
          </w:r>
        </w:p>
        <w:p>
          <w:pPr>
            <w:pStyle w:val="10"/>
            <w:rPr>
              <w:kern w:val="2"/>
              <w:sz w:val="21"/>
            </w:rPr>
          </w:pPr>
          <w:r>
            <w:fldChar w:fldCharType="begin"/>
          </w:r>
          <w:r>
            <w:instrText xml:space="preserve"> HYPERLINK \l "_Toc141265123" </w:instrText>
          </w:r>
          <w:r>
            <w:fldChar w:fldCharType="separate"/>
          </w:r>
          <w:r>
            <w:rPr>
              <w:rStyle w:val="15"/>
              <w:rFonts w:hint="eastAsia" w:ascii="黑体" w:hAnsi="Times New Roman" w:eastAsia="黑体"/>
              <w:u w:val="none"/>
            </w:rPr>
            <w:t>第四部分</w:t>
          </w:r>
          <w:r>
            <w:rPr>
              <w:rStyle w:val="15"/>
              <w:rFonts w:ascii="黑体" w:hAnsi="Times New Roman" w:eastAsia="黑体"/>
              <w:u w:val="none"/>
            </w:rPr>
            <w:t xml:space="preserve"> </w:t>
          </w:r>
          <w:r>
            <w:rPr>
              <w:rStyle w:val="15"/>
              <w:rFonts w:hint="eastAsia" w:ascii="黑体" w:hAnsi="Times New Roman" w:eastAsia="黑体"/>
              <w:u w:val="none"/>
            </w:rPr>
            <w:t xml:space="preserve"> 名词解释</w:t>
          </w:r>
          <w:r>
            <w:tab/>
          </w:r>
          <w:r>
            <w:fldChar w:fldCharType="begin"/>
          </w:r>
          <w:r>
            <w:instrText xml:space="preserve"> PAGEREF _Toc141265123 \h </w:instrText>
          </w:r>
          <w:r>
            <w:fldChar w:fldCharType="separate"/>
          </w:r>
          <w:r>
            <w:t>29</w:t>
          </w:r>
          <w:r>
            <w:fldChar w:fldCharType="end"/>
          </w:r>
          <w:r>
            <w:fldChar w:fldCharType="end"/>
          </w:r>
        </w:p>
        <w:p>
          <w:pPr>
            <w:spacing w:line="380" w:lineRule="exact"/>
            <w:rPr>
              <w:sz w:val="28"/>
              <w:szCs w:val="28"/>
            </w:rPr>
            <w:sectPr>
              <w:headerReference r:id="rId3" w:type="default"/>
              <w:footerReference r:id="rId4" w:type="default"/>
              <w:pgSz w:w="11906" w:h="16838"/>
              <w:pgMar w:top="1440" w:right="1080" w:bottom="1440" w:left="1080" w:header="851" w:footer="992" w:gutter="0"/>
              <w:cols w:space="425" w:num="1"/>
              <w:docGrid w:type="lines" w:linePitch="312" w:charSpace="0"/>
            </w:sectPr>
          </w:pPr>
          <w:r>
            <w:rPr>
              <w:sz w:val="28"/>
              <w:szCs w:val="28"/>
            </w:rPr>
            <w:fldChar w:fldCharType="end"/>
          </w:r>
        </w:p>
        <w:p>
          <w:pPr>
            <w:spacing w:line="360" w:lineRule="exact"/>
            <w:rPr>
              <w:sz w:val="28"/>
              <w:szCs w:val="28"/>
            </w:rPr>
          </w:pPr>
        </w:p>
      </w:sdtContent>
    </w:sdt>
    <w:p>
      <w:pPr>
        <w:pStyle w:val="3"/>
        <w:jc w:val="center"/>
        <w:rPr>
          <w:rFonts w:ascii="黑体" w:eastAsia="黑体"/>
          <w:b w:val="0"/>
          <w:sz w:val="72"/>
          <w:szCs w:val="84"/>
        </w:rPr>
      </w:pPr>
      <w:bookmarkStart w:id="0" w:name="_Toc16621"/>
      <w:bookmarkStart w:id="1" w:name="_Toc11341"/>
      <w:bookmarkStart w:id="2" w:name="_Toc141265095"/>
      <w:r>
        <w:rPr>
          <w:rFonts w:hint="eastAsia" w:ascii="黑体" w:eastAsia="黑体"/>
          <w:b w:val="0"/>
          <w:sz w:val="72"/>
          <w:szCs w:val="84"/>
        </w:rPr>
        <w:t>第一部分</w:t>
      </w:r>
      <w:bookmarkEnd w:id="0"/>
      <w:bookmarkEnd w:id="1"/>
      <w:bookmarkEnd w:id="2"/>
    </w:p>
    <w:p>
      <w:pPr>
        <w:pStyle w:val="3"/>
        <w:jc w:val="center"/>
        <w:rPr>
          <w:rFonts w:ascii="黑体" w:hAnsi="Times New Roman" w:eastAsia="黑体" w:cs="黑体"/>
          <w:b w:val="0"/>
          <w:sz w:val="72"/>
          <w:szCs w:val="84"/>
        </w:rPr>
      </w:pPr>
      <w:bookmarkStart w:id="3" w:name="_Toc23058"/>
      <w:bookmarkStart w:id="4" w:name="_Toc141265096"/>
      <w:bookmarkStart w:id="5" w:name="_Toc23870"/>
      <w:r>
        <w:rPr>
          <w:rFonts w:hint="eastAsia" w:ascii="黑体" w:hAnsi="Times New Roman" w:eastAsia="黑体"/>
          <w:b w:val="0"/>
          <w:sz w:val="72"/>
          <w:szCs w:val="84"/>
          <w:lang w:eastAsia="zh-CN"/>
        </w:rPr>
        <w:t>陕西</w:t>
      </w:r>
      <w:r>
        <w:rPr>
          <w:rFonts w:hint="eastAsia" w:ascii="黑体" w:hAnsi="Times New Roman" w:eastAsia="黑体"/>
          <w:b w:val="0"/>
          <w:sz w:val="72"/>
          <w:szCs w:val="84"/>
        </w:rPr>
        <w:t>省通信管理局概况</w:t>
      </w:r>
      <w:bookmarkEnd w:id="3"/>
      <w:bookmarkEnd w:id="4"/>
      <w:bookmarkEnd w:id="5"/>
    </w:p>
    <w:p>
      <w:pPr>
        <w:spacing w:line="720" w:lineRule="auto"/>
        <w:jc w:val="center"/>
        <w:rPr>
          <w:rFonts w:asciiTheme="majorEastAsia" w:hAnsiTheme="majorEastAsia" w:eastAsiaTheme="majorEastAsia"/>
          <w:sz w:val="72"/>
          <w:szCs w:val="72"/>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spacing w:line="560" w:lineRule="exact"/>
        <w:rPr>
          <w:rFonts w:asciiTheme="majorEastAsia" w:hAnsiTheme="majorEastAsia" w:eastAsiaTheme="majorEastAsia"/>
          <w:sz w:val="44"/>
          <w:szCs w:val="44"/>
        </w:rPr>
      </w:pPr>
    </w:p>
    <w:p>
      <w:pPr>
        <w:pStyle w:val="4"/>
        <w:spacing w:line="560" w:lineRule="exact"/>
        <w:rPr>
          <w:rFonts w:hint="eastAsia" w:ascii="Times New Roman" w:hAnsi="Times New Roman" w:cs="黑体"/>
        </w:rPr>
      </w:pPr>
      <w:bookmarkStart w:id="6" w:name="_Toc8477"/>
      <w:bookmarkStart w:id="7" w:name="_Toc19435"/>
      <w:bookmarkStart w:id="8" w:name="_Toc30535"/>
      <w:bookmarkStart w:id="9" w:name="_Toc26072"/>
      <w:bookmarkStart w:id="10" w:name="_Toc29444"/>
      <w:bookmarkStart w:id="11" w:name="_Toc12413"/>
      <w:bookmarkStart w:id="12" w:name="_Toc9898"/>
      <w:bookmarkStart w:id="13" w:name="_Toc31249"/>
      <w:bookmarkStart w:id="14" w:name="_Toc15804"/>
      <w:bookmarkStart w:id="15" w:name="_Toc32230"/>
      <w:bookmarkStart w:id="16" w:name="_Toc24443"/>
      <w:bookmarkStart w:id="17" w:name="_Toc141265097"/>
    </w:p>
    <w:p>
      <w:pPr>
        <w:pStyle w:val="4"/>
        <w:spacing w:line="560" w:lineRule="exact"/>
        <w:rPr>
          <w:rFonts w:ascii="Times New Roman" w:hAnsi="Times New Roman" w:cs="黑体"/>
        </w:rPr>
      </w:pPr>
      <w:r>
        <w:rPr>
          <w:rFonts w:hint="eastAsia" w:ascii="Times New Roman" w:hAnsi="Times New Roman" w:cs="黑体"/>
        </w:rPr>
        <w:t>一、部门职责</w:t>
      </w:r>
      <w:bookmarkEnd w:id="6"/>
      <w:bookmarkEnd w:id="7"/>
      <w:bookmarkEnd w:id="8"/>
      <w:bookmarkEnd w:id="9"/>
      <w:bookmarkEnd w:id="10"/>
      <w:bookmarkEnd w:id="11"/>
      <w:bookmarkEnd w:id="12"/>
      <w:bookmarkEnd w:id="13"/>
      <w:bookmarkEnd w:id="14"/>
      <w:bookmarkEnd w:id="15"/>
      <w:bookmarkEnd w:id="16"/>
      <w:bookmarkEnd w:id="17"/>
    </w:p>
    <w:p>
      <w:pPr>
        <w:pStyle w:val="18"/>
        <w:widowControl/>
        <w:spacing w:beforeLines="0" w:beforeAutospacing="0" w:afterLines="0" w:afterAutospacing="0" w:line="560" w:lineRule="exact"/>
        <w:ind w:firstLine="640" w:firstLineChars="200"/>
        <w:rPr>
          <w:rFonts w:hint="eastAsia" w:ascii="仿宋_GB2312" w:hAnsi="宋体" w:eastAsia="仿宋_GB2312" w:cs="宋体"/>
          <w:bCs/>
          <w:color w:val="070707"/>
          <w:sz w:val="32"/>
          <w:szCs w:val="32"/>
        </w:rPr>
      </w:pPr>
      <w:bookmarkStart w:id="18" w:name="_Toc141265098"/>
      <w:r>
        <w:rPr>
          <w:rFonts w:hint="eastAsia" w:ascii="仿宋_GB2312" w:hAnsi="宋体" w:eastAsia="仿宋_GB2312" w:cs="宋体"/>
          <w:bCs/>
          <w:i w:val="0"/>
          <w:caps w:val="0"/>
          <w:color w:val="070707"/>
          <w:spacing w:val="0"/>
          <w:sz w:val="32"/>
          <w:szCs w:val="32"/>
          <w:shd w:val="clear" w:color="auto" w:fill="FFFFFF"/>
        </w:rPr>
        <w:t>陕西省通信管理局于2001年3月30日正式挂牌成立，是工业和信息化部的垂直管理单位。在工业和信息化部的领导下，依照《中华人民共和国电信条例》和有关法律法规，依法对陕西省行政区域内的通信行业实施政府监督管理职能。其主要职能是：在所辖范围内，负责实施网络强国和“宽带中国”战略，推动全光网城市建设，打造现代互联网产业体系；协调电信网、互联网、专用通信网的建设，促进网络资源共建共享；推进电信普遍服务、民资开放工作，加强信息通信建设市场招标投标管理；依法对电信和互联网等信息通信服务实行监管，承担互联网（含移动互联网）行业管理；组织实施市场准入、市场秩序、设备进网、服务质量、用户权益等监管政策，加强网站备案、接入服务等基础管理；承担信息通信行业行风建设有关工作，推动行业自律和行业组织发展；组织开展电信网、互联网网络数据和用户个人信息保护工作；协调管理相关网络与信息安全技术平台，推进网络与信息安全保障体系建设；组织推进电信网、互联网安全自主可控相关工作；组织开展电信网、互联网新技术新业务安全评估；指导督促电信企业和互联网企业落实网络与信息安全管理责任；组织开展电信网、互联网网络与信息安全监测预警、威胁治理、信息通报工作；组织开展电话用户实名登记；配合打击网络犯罪和防范网络失窃密；负责网络安全防护、应急管理和处置。</w:t>
      </w:r>
    </w:p>
    <w:p>
      <w:pPr>
        <w:pStyle w:val="4"/>
        <w:spacing w:line="560" w:lineRule="exact"/>
        <w:rPr>
          <w:rFonts w:ascii="Times New Roman" w:hAnsi="Times New Roman" w:cs="黑体"/>
        </w:rPr>
      </w:pPr>
      <w:r>
        <w:rPr>
          <w:rFonts w:hint="eastAsia" w:ascii="Times New Roman" w:hAnsi="Times New Roman" w:cs="黑体"/>
        </w:rPr>
        <w:t>二、机构设置</w:t>
      </w:r>
      <w:bookmarkEnd w:id="18"/>
    </w:p>
    <w:p>
      <w:pPr>
        <w:pStyle w:val="18"/>
        <w:widowControl/>
        <w:spacing w:beforeAutospacing="0" w:afterAutospacing="0" w:line="560" w:lineRule="exact"/>
        <w:ind w:firstLine="640" w:firstLineChars="200"/>
        <w:rPr>
          <w:rFonts w:ascii="仿宋_GB2312" w:hAnsi="宋体" w:eastAsia="仿宋_GB2312" w:cs="宋体"/>
          <w:bCs/>
          <w:color w:val="070707"/>
          <w:sz w:val="32"/>
          <w:szCs w:val="32"/>
        </w:rPr>
      </w:pPr>
      <w:r>
        <w:rPr>
          <w:rFonts w:hint="eastAsia" w:ascii="仿宋_GB2312" w:hAnsi="宋体" w:eastAsia="仿宋_GB2312" w:cs="宋体"/>
          <w:bCs/>
          <w:color w:val="070707"/>
          <w:sz w:val="32"/>
          <w:szCs w:val="32"/>
          <w:lang w:eastAsia="zh-CN"/>
        </w:rPr>
        <w:t>陕西</w:t>
      </w:r>
      <w:r>
        <w:rPr>
          <w:rFonts w:hint="eastAsia" w:ascii="仿宋_GB2312" w:hAnsi="宋体" w:eastAsia="仿宋_GB2312" w:cs="宋体"/>
          <w:bCs/>
          <w:color w:val="070707"/>
          <w:sz w:val="32"/>
          <w:szCs w:val="32"/>
        </w:rPr>
        <w:t>省通信管理局2022年部门决算包括</w:t>
      </w:r>
      <w:r>
        <w:rPr>
          <w:rFonts w:hint="eastAsia" w:ascii="仿宋_GB2312" w:hAnsi="宋体" w:eastAsia="仿宋_GB2312" w:cs="宋体"/>
          <w:bCs/>
          <w:color w:val="070707"/>
          <w:sz w:val="32"/>
          <w:szCs w:val="32"/>
          <w:lang w:eastAsia="zh-CN"/>
        </w:rPr>
        <w:t>陕西</w:t>
      </w:r>
      <w:r>
        <w:rPr>
          <w:rFonts w:hint="eastAsia" w:ascii="仿宋_GB2312" w:hAnsi="宋体" w:eastAsia="仿宋_GB2312" w:cs="宋体"/>
          <w:bCs/>
          <w:color w:val="070707"/>
          <w:sz w:val="32"/>
          <w:szCs w:val="32"/>
        </w:rPr>
        <w:t>省通信管理局本级决算</w:t>
      </w:r>
      <w:r>
        <w:rPr>
          <w:rFonts w:hint="eastAsia" w:ascii="仿宋_GB2312" w:hAnsi="宋体" w:eastAsia="仿宋_GB2312" w:cs="宋体"/>
          <w:bCs/>
          <w:color w:val="070707"/>
          <w:sz w:val="32"/>
          <w:szCs w:val="32"/>
          <w:lang w:eastAsia="zh-CN"/>
        </w:rPr>
        <w:t>、陕西</w:t>
      </w:r>
      <w:r>
        <w:rPr>
          <w:rFonts w:hint="eastAsia" w:ascii="仿宋_GB2312" w:hAnsi="宋体" w:eastAsia="仿宋_GB2312" w:cs="宋体"/>
          <w:bCs/>
          <w:color w:val="070707"/>
          <w:sz w:val="32"/>
          <w:szCs w:val="32"/>
        </w:rPr>
        <w:t>省</w:t>
      </w:r>
      <w:r>
        <w:rPr>
          <w:rFonts w:hint="eastAsia" w:ascii="仿宋_GB2312" w:hAnsi="宋体" w:eastAsia="仿宋_GB2312" w:cs="宋体"/>
          <w:bCs/>
          <w:color w:val="070707"/>
          <w:sz w:val="32"/>
          <w:szCs w:val="32"/>
          <w:lang w:eastAsia="zh-CN"/>
        </w:rPr>
        <w:t>通信行业职业技能鉴定中心</w:t>
      </w:r>
      <w:r>
        <w:rPr>
          <w:rFonts w:hint="eastAsia" w:ascii="仿宋_GB2312" w:hAnsi="宋体" w:eastAsia="仿宋_GB2312" w:cs="宋体"/>
          <w:bCs/>
          <w:color w:val="070707"/>
          <w:sz w:val="32"/>
          <w:szCs w:val="32"/>
        </w:rPr>
        <w:t>决算</w:t>
      </w:r>
      <w:r>
        <w:rPr>
          <w:rFonts w:hint="eastAsia" w:ascii="仿宋_GB2312" w:hAnsi="宋体" w:eastAsia="仿宋_GB2312" w:cs="宋体"/>
          <w:bCs/>
          <w:color w:val="070707"/>
          <w:sz w:val="32"/>
          <w:szCs w:val="32"/>
          <w:lang w:eastAsia="zh-CN"/>
        </w:rPr>
        <w:t>、陕西省工程质量监督中心决算</w:t>
      </w:r>
      <w:r>
        <w:rPr>
          <w:rFonts w:hint="eastAsia" w:ascii="仿宋_GB2312" w:hAnsi="宋体" w:eastAsia="仿宋_GB2312" w:cs="宋体"/>
          <w:bCs/>
          <w:color w:val="070707"/>
          <w:sz w:val="32"/>
          <w:szCs w:val="32"/>
        </w:rPr>
        <w:t>，共</w:t>
      </w:r>
      <w:r>
        <w:rPr>
          <w:rFonts w:hint="eastAsia" w:ascii="仿宋_GB2312" w:hAnsi="宋体" w:eastAsia="仿宋_GB2312" w:cs="宋体"/>
          <w:bCs/>
          <w:color w:val="070707"/>
          <w:sz w:val="32"/>
          <w:szCs w:val="32"/>
          <w:lang w:val="en-US" w:eastAsia="zh-CN"/>
        </w:rPr>
        <w:t>3</w:t>
      </w:r>
      <w:r>
        <w:rPr>
          <w:rFonts w:hint="eastAsia" w:ascii="仿宋_GB2312" w:hAnsi="宋体" w:eastAsia="仿宋_GB2312" w:cs="宋体"/>
          <w:bCs/>
          <w:color w:val="070707"/>
          <w:sz w:val="32"/>
          <w:szCs w:val="32"/>
        </w:rPr>
        <w:t>家。</w:t>
      </w:r>
    </w:p>
    <w:p>
      <w:pPr>
        <w:pStyle w:val="3"/>
        <w:jc w:val="both"/>
        <w:rPr>
          <w:rFonts w:hint="eastAsia" w:ascii="黑体" w:hAnsi="Times New Roman" w:eastAsia="黑体"/>
          <w:b w:val="0"/>
          <w:sz w:val="72"/>
          <w:szCs w:val="84"/>
        </w:rPr>
      </w:pPr>
      <w:bookmarkStart w:id="19" w:name="_Toc23792"/>
      <w:bookmarkStart w:id="20" w:name="_Toc141265099"/>
      <w:bookmarkStart w:id="21" w:name="_Toc32186"/>
      <w:bookmarkStart w:id="22" w:name="_Toc24266"/>
    </w:p>
    <w:p>
      <w:pPr>
        <w:rPr>
          <w:rFonts w:hint="eastAsia" w:ascii="黑体" w:hAnsi="Times New Roman" w:eastAsia="黑体"/>
          <w:b w:val="0"/>
          <w:sz w:val="72"/>
          <w:szCs w:val="84"/>
        </w:rPr>
      </w:pPr>
    </w:p>
    <w:p>
      <w:pPr>
        <w:pStyle w:val="2"/>
        <w:rPr>
          <w:rFonts w:hint="eastAsia" w:ascii="黑体" w:hAnsi="Times New Roman" w:eastAsia="黑体"/>
          <w:b w:val="0"/>
          <w:sz w:val="72"/>
          <w:szCs w:val="84"/>
        </w:rPr>
      </w:pPr>
    </w:p>
    <w:p>
      <w:pPr>
        <w:rPr>
          <w:rFonts w:hint="eastAsia" w:ascii="黑体" w:hAnsi="Times New Roman" w:eastAsia="黑体"/>
          <w:b w:val="0"/>
          <w:sz w:val="72"/>
          <w:szCs w:val="84"/>
        </w:rPr>
      </w:pPr>
    </w:p>
    <w:p>
      <w:pPr>
        <w:pStyle w:val="2"/>
        <w:rPr>
          <w:rFonts w:hint="eastAsia" w:ascii="黑体" w:hAnsi="Times New Roman" w:eastAsia="黑体"/>
          <w:b w:val="0"/>
          <w:sz w:val="72"/>
          <w:szCs w:val="84"/>
        </w:rPr>
      </w:pPr>
    </w:p>
    <w:p>
      <w:pPr>
        <w:pStyle w:val="2"/>
        <w:rPr>
          <w:rFonts w:hint="eastAsia"/>
        </w:rPr>
      </w:pPr>
    </w:p>
    <w:p>
      <w:pPr>
        <w:rPr>
          <w:rFonts w:hint="eastAsia"/>
        </w:rPr>
      </w:pPr>
    </w:p>
    <w:p>
      <w:pPr>
        <w:rPr>
          <w:rFonts w:hint="eastAsia"/>
        </w:rPr>
      </w:pPr>
    </w:p>
    <w:p>
      <w:pPr>
        <w:pStyle w:val="2"/>
        <w:rPr>
          <w:rFonts w:hint="eastAsia"/>
        </w:rPr>
      </w:pPr>
    </w:p>
    <w:p>
      <w:pPr>
        <w:pStyle w:val="3"/>
        <w:jc w:val="center"/>
        <w:rPr>
          <w:rFonts w:ascii="黑体" w:hAnsi="Times New Roman" w:eastAsia="黑体"/>
          <w:b w:val="0"/>
          <w:sz w:val="72"/>
          <w:szCs w:val="84"/>
        </w:rPr>
      </w:pPr>
      <w:r>
        <w:rPr>
          <w:rFonts w:hint="eastAsia" w:ascii="黑体" w:hAnsi="Times New Roman" w:eastAsia="黑体"/>
          <w:b w:val="0"/>
          <w:sz w:val="72"/>
          <w:szCs w:val="84"/>
        </w:rPr>
        <w:t>第二部分</w:t>
      </w:r>
      <w:bookmarkEnd w:id="19"/>
      <w:bookmarkEnd w:id="20"/>
      <w:bookmarkEnd w:id="21"/>
      <w:bookmarkEnd w:id="22"/>
    </w:p>
    <w:p>
      <w:pPr>
        <w:pStyle w:val="3"/>
        <w:jc w:val="center"/>
        <w:rPr>
          <w:rFonts w:ascii="黑体" w:hAnsi="Times New Roman" w:eastAsia="黑体"/>
          <w:b w:val="0"/>
          <w:sz w:val="72"/>
          <w:szCs w:val="84"/>
        </w:rPr>
      </w:pPr>
      <w:bookmarkStart w:id="23" w:name="_Toc141265100"/>
      <w:bookmarkStart w:id="24" w:name="_Toc8389"/>
      <w:bookmarkStart w:id="25" w:name="_Toc5649"/>
      <w:r>
        <w:rPr>
          <w:rFonts w:hint="eastAsia" w:ascii="黑体" w:hAnsi="Times New Roman" w:eastAsia="黑体"/>
          <w:b w:val="0"/>
          <w:sz w:val="72"/>
          <w:szCs w:val="84"/>
        </w:rPr>
        <w:t>2022年度部门决算报表</w:t>
      </w:r>
      <w:bookmarkEnd w:id="23"/>
      <w:bookmarkEnd w:id="24"/>
      <w:bookmarkEnd w:id="25"/>
    </w:p>
    <w:p>
      <w:pPr>
        <w:pStyle w:val="18"/>
        <w:widowControl/>
        <w:spacing w:beforeAutospacing="0" w:afterAutospacing="0" w:line="720" w:lineRule="auto"/>
        <w:ind w:firstLine="787" w:firstLineChars="246"/>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hint="eastAsia"/>
        </w:rPr>
        <w:sectPr>
          <w:footerReference r:id="rId5" w:type="default"/>
          <w:pgSz w:w="11906" w:h="16838"/>
          <w:pgMar w:top="1440" w:right="1080" w:bottom="1440" w:left="1080" w:header="851" w:footer="992" w:gutter="0"/>
          <w:pgNumType w:start="1"/>
          <w:cols w:space="425" w:num="1"/>
          <w:docGrid w:type="lines" w:linePitch="312" w:charSpace="0"/>
        </w:sectPr>
      </w:pPr>
    </w:p>
    <w:p>
      <w:pPr>
        <w:pStyle w:val="4"/>
        <w:ind w:firstLine="0" w:firstLineChars="0"/>
        <w:jc w:val="center"/>
        <w:rPr>
          <w:rFonts w:hint="eastAsia"/>
        </w:rPr>
      </w:pPr>
      <w:bookmarkStart w:id="26" w:name="_Toc141265101"/>
      <w:r>
        <w:rPr>
          <w:rFonts w:hint="eastAsia"/>
          <w:kern w:val="0"/>
        </w:rPr>
        <w:t>收入支出决算总表</w:t>
      </w:r>
      <w:bookmarkEnd w:id="26"/>
    </w:p>
    <w:tbl>
      <w:tblPr>
        <w:tblStyle w:val="13"/>
        <w:tblW w:w="140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640"/>
        <w:gridCol w:w="521"/>
        <w:gridCol w:w="3706"/>
        <w:gridCol w:w="3640"/>
        <w:gridCol w:w="521"/>
        <w:gridCol w:w="1844"/>
        <w:gridCol w:w="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640" w:type="dxa"/>
            <w:shd w:val="clear" w:color="auto" w:fill="auto"/>
            <w:vAlign w:val="bottom"/>
          </w:tcPr>
          <w:p>
            <w:pPr>
              <w:rPr>
                <w:rFonts w:hint="eastAsia" w:ascii="Arial" w:hAnsi="Arial" w:cs="Arial"/>
                <w:i w:val="0"/>
                <w:color w:val="000000"/>
                <w:sz w:val="20"/>
                <w:szCs w:val="20"/>
                <w:u w:val="none"/>
              </w:rPr>
            </w:pPr>
          </w:p>
        </w:tc>
        <w:tc>
          <w:tcPr>
            <w:tcW w:w="521" w:type="dxa"/>
            <w:shd w:val="clear" w:color="auto" w:fill="auto"/>
            <w:vAlign w:val="bottom"/>
          </w:tcPr>
          <w:p>
            <w:pPr>
              <w:rPr>
                <w:rFonts w:hint="default" w:ascii="Arial" w:hAnsi="Arial" w:cs="Arial"/>
                <w:i w:val="0"/>
                <w:color w:val="000000"/>
                <w:sz w:val="20"/>
                <w:szCs w:val="20"/>
                <w:u w:val="none"/>
              </w:rPr>
            </w:pPr>
          </w:p>
        </w:tc>
        <w:tc>
          <w:tcPr>
            <w:tcW w:w="3706" w:type="dxa"/>
            <w:shd w:val="clear" w:color="auto" w:fill="auto"/>
            <w:vAlign w:val="bottom"/>
          </w:tcPr>
          <w:p>
            <w:pPr>
              <w:rPr>
                <w:rFonts w:hint="default" w:ascii="Arial" w:hAnsi="Arial" w:cs="Arial"/>
                <w:i w:val="0"/>
                <w:color w:val="000000"/>
                <w:sz w:val="20"/>
                <w:szCs w:val="20"/>
                <w:u w:val="none"/>
              </w:rPr>
            </w:pPr>
          </w:p>
        </w:tc>
        <w:tc>
          <w:tcPr>
            <w:tcW w:w="3640" w:type="dxa"/>
            <w:shd w:val="clear" w:color="auto" w:fill="auto"/>
            <w:vAlign w:val="bottom"/>
          </w:tcPr>
          <w:p>
            <w:pPr>
              <w:rPr>
                <w:rFonts w:hint="default" w:ascii="Arial" w:hAnsi="Arial" w:cs="Arial"/>
                <w:i w:val="0"/>
                <w:color w:val="000000"/>
                <w:sz w:val="20"/>
                <w:szCs w:val="20"/>
                <w:u w:val="none"/>
              </w:rPr>
            </w:pPr>
          </w:p>
        </w:tc>
        <w:tc>
          <w:tcPr>
            <w:tcW w:w="521" w:type="dxa"/>
            <w:shd w:val="clear" w:color="auto" w:fill="auto"/>
            <w:vAlign w:val="bottom"/>
          </w:tcPr>
          <w:p>
            <w:pPr>
              <w:rPr>
                <w:rFonts w:hint="default" w:ascii="Arial" w:hAnsi="Arial" w:cs="Arial"/>
                <w:i w:val="0"/>
                <w:color w:val="000000"/>
                <w:sz w:val="20"/>
                <w:szCs w:val="20"/>
                <w:u w:val="none"/>
              </w:rPr>
            </w:pPr>
          </w:p>
        </w:tc>
        <w:tc>
          <w:tcPr>
            <w:tcW w:w="2040"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3640" w:type="dxa"/>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521" w:type="dxa"/>
            <w:shd w:val="clear" w:color="auto" w:fill="auto"/>
            <w:vAlign w:val="bottom"/>
          </w:tcPr>
          <w:p>
            <w:pPr>
              <w:rPr>
                <w:rFonts w:hint="default" w:ascii="Arial" w:hAnsi="Arial" w:cs="Arial"/>
                <w:i w:val="0"/>
                <w:color w:val="000000"/>
                <w:sz w:val="20"/>
                <w:szCs w:val="20"/>
                <w:u w:val="none"/>
              </w:rPr>
            </w:pPr>
          </w:p>
        </w:tc>
        <w:tc>
          <w:tcPr>
            <w:tcW w:w="3706" w:type="dxa"/>
            <w:shd w:val="clear" w:color="auto" w:fill="auto"/>
            <w:vAlign w:val="bottom"/>
          </w:tcPr>
          <w:p>
            <w:pPr>
              <w:rPr>
                <w:rFonts w:hint="default" w:ascii="Arial" w:hAnsi="Arial" w:cs="Arial"/>
                <w:i w:val="0"/>
                <w:color w:val="000000"/>
                <w:sz w:val="20"/>
                <w:szCs w:val="20"/>
                <w:u w:val="none"/>
              </w:rPr>
            </w:pPr>
          </w:p>
        </w:tc>
        <w:tc>
          <w:tcPr>
            <w:tcW w:w="3640" w:type="dxa"/>
            <w:shd w:val="clear" w:color="auto" w:fill="auto"/>
            <w:vAlign w:val="bottom"/>
          </w:tcPr>
          <w:p>
            <w:pPr>
              <w:rPr>
                <w:rFonts w:hint="default" w:ascii="Arial" w:hAnsi="Arial" w:cs="Arial"/>
                <w:i w:val="0"/>
                <w:color w:val="000000"/>
                <w:sz w:val="20"/>
                <w:szCs w:val="20"/>
                <w:u w:val="none"/>
              </w:rPr>
            </w:pPr>
          </w:p>
        </w:tc>
        <w:tc>
          <w:tcPr>
            <w:tcW w:w="521" w:type="dxa"/>
            <w:shd w:val="clear" w:color="auto" w:fill="auto"/>
            <w:vAlign w:val="bottom"/>
          </w:tcPr>
          <w:p>
            <w:pPr>
              <w:rPr>
                <w:rFonts w:hint="default" w:ascii="Arial" w:hAnsi="Arial" w:cs="Arial"/>
                <w:i w:val="0"/>
                <w:color w:val="000000"/>
                <w:sz w:val="20"/>
                <w:szCs w:val="20"/>
                <w:u w:val="none"/>
              </w:rPr>
            </w:pPr>
          </w:p>
        </w:tc>
        <w:tc>
          <w:tcPr>
            <w:tcW w:w="2040"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7867"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6201" w:type="dxa"/>
            <w:gridSpan w:val="4"/>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70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04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21"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706"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21"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04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1,540.46</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949.22</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04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i w:val="0"/>
                <w:color w:val="000000"/>
                <w:sz w:val="20"/>
                <w:szCs w:val="20"/>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0"/>
                <w:szCs w:val="20"/>
                <w:u w:val="none"/>
              </w:rPr>
            </w:pP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2,489.68</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985.99</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706"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3640"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844"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364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706"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3,475.67</w:t>
            </w:r>
          </w:p>
        </w:tc>
        <w:tc>
          <w:tcPr>
            <w:tcW w:w="364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2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84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3,475.67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13872"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96" w:type="dxa"/>
          <w:trHeight w:val="301" w:hRule="atLeast"/>
        </w:trPr>
        <w:tc>
          <w:tcPr>
            <w:tcW w:w="13872" w:type="dxa"/>
            <w:gridSpan w:val="6"/>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2.本套报表金额单位转换时可能存在尾数误差。</w:t>
            </w:r>
          </w:p>
        </w:tc>
      </w:tr>
    </w:tbl>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spacing w:line="560" w:lineRule="exact"/>
        <w:rPr>
          <w:rFonts w:hint="eastAsia"/>
        </w:rPr>
      </w:pPr>
    </w:p>
    <w:p>
      <w:pPr>
        <w:pStyle w:val="2"/>
        <w:rPr>
          <w:rFonts w:hint="eastAsia"/>
        </w:rPr>
      </w:pPr>
      <w:bookmarkStart w:id="27" w:name="_Toc141265102"/>
    </w:p>
    <w:p>
      <w:pPr>
        <w:rPr>
          <w:rFonts w:hint="eastAsia"/>
        </w:rPr>
      </w:pPr>
    </w:p>
    <w:p>
      <w:pPr>
        <w:pStyle w:val="4"/>
        <w:ind w:firstLine="0" w:firstLineChars="0"/>
        <w:jc w:val="center"/>
        <w:rPr>
          <w:rFonts w:asciiTheme="minorEastAsia" w:hAnsiTheme="minorEastAsia"/>
          <w:sz w:val="22"/>
        </w:rPr>
      </w:pPr>
      <w:r>
        <w:rPr>
          <w:rFonts w:hint="eastAsia"/>
          <w:kern w:val="0"/>
        </w:rPr>
        <w:t>收入决算表</w:t>
      </w:r>
      <w:bookmarkEnd w:id="27"/>
    </w:p>
    <w:tbl>
      <w:tblPr>
        <w:tblStyle w:val="13"/>
        <w:tblW w:w="13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48"/>
        <w:gridCol w:w="1334"/>
        <w:gridCol w:w="240"/>
        <w:gridCol w:w="808"/>
        <w:gridCol w:w="1549"/>
        <w:gridCol w:w="1333"/>
        <w:gridCol w:w="468"/>
        <w:gridCol w:w="960"/>
        <w:gridCol w:w="373"/>
        <w:gridCol w:w="240"/>
        <w:gridCol w:w="347"/>
        <w:gridCol w:w="613"/>
        <w:gridCol w:w="347"/>
        <w:gridCol w:w="613"/>
        <w:gridCol w:w="240"/>
        <w:gridCol w:w="107"/>
        <w:gridCol w:w="460"/>
        <w:gridCol w:w="107"/>
        <w:gridCol w:w="1246"/>
        <w:gridCol w:w="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107" w:type="dxa"/>
          <w:trHeight w:val="162" w:hRule="atLeast"/>
        </w:trPr>
        <w:tc>
          <w:tcPr>
            <w:tcW w:w="3582" w:type="dxa"/>
            <w:gridSpan w:val="2"/>
            <w:shd w:val="clear" w:color="auto" w:fill="auto"/>
            <w:vAlign w:val="bottom"/>
          </w:tcPr>
          <w:p>
            <w:pPr>
              <w:rPr>
                <w:rFonts w:hint="eastAsia"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2882" w:type="dxa"/>
            <w:gridSpan w:val="2"/>
            <w:shd w:val="clear" w:color="auto" w:fill="auto"/>
            <w:vAlign w:val="bottom"/>
          </w:tcPr>
          <w:p>
            <w:pPr>
              <w:rPr>
                <w:rFonts w:hint="default" w:ascii="Arial" w:hAnsi="Arial" w:cs="Arial"/>
                <w:i w:val="0"/>
                <w:color w:val="000000"/>
                <w:sz w:val="20"/>
                <w:szCs w:val="20"/>
                <w:u w:val="none"/>
              </w:rPr>
            </w:pPr>
          </w:p>
        </w:tc>
        <w:tc>
          <w:tcPr>
            <w:tcW w:w="1801" w:type="dxa"/>
            <w:gridSpan w:val="3"/>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567" w:type="dxa"/>
            <w:gridSpan w:val="2"/>
            <w:shd w:val="clear" w:color="auto" w:fill="auto"/>
            <w:vAlign w:val="bottom"/>
          </w:tcPr>
          <w:p>
            <w:pPr>
              <w:rPr>
                <w:rFonts w:hint="default" w:ascii="Arial" w:hAnsi="Arial" w:cs="Arial"/>
                <w:i w:val="0"/>
                <w:color w:val="000000"/>
                <w:sz w:val="20"/>
                <w:szCs w:val="20"/>
                <w:u w:val="none"/>
              </w:rPr>
            </w:pPr>
          </w:p>
        </w:tc>
        <w:tc>
          <w:tcPr>
            <w:tcW w:w="1353"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107" w:type="dxa"/>
          <w:trHeight w:val="286" w:hRule="atLeast"/>
        </w:trPr>
        <w:tc>
          <w:tcPr>
            <w:tcW w:w="3582" w:type="dxa"/>
            <w:gridSpan w:val="2"/>
            <w:shd w:val="clear" w:color="auto" w:fill="auto"/>
            <w:vAlign w:val="bottom"/>
          </w:tcPr>
          <w:p>
            <w:pPr>
              <w:keepNext w:val="0"/>
              <w:keepLines w:val="0"/>
              <w:widowControl/>
              <w:suppressLineNumbers w:val="0"/>
              <w:ind w:right="-1243" w:rightChars="-592"/>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240" w:type="dxa"/>
            <w:shd w:val="clear" w:color="auto" w:fill="auto"/>
            <w:vAlign w:val="bottom"/>
          </w:tcPr>
          <w:p>
            <w:pPr>
              <w:tabs>
                <w:tab w:val="left" w:pos="0"/>
              </w:tabs>
              <w:ind w:left="1056" w:leftChars="502" w:right="-1594" w:rightChars="-759" w:hanging="2" w:firstLineChars="0"/>
              <w:rPr>
                <w:rFonts w:hint="default" w:ascii="Arial" w:hAnsi="Arial" w:cs="Arial"/>
                <w:i w:val="0"/>
                <w:color w:val="000000"/>
                <w:sz w:val="20"/>
                <w:szCs w:val="20"/>
                <w:u w:val="none"/>
              </w:rPr>
            </w:pPr>
          </w:p>
        </w:tc>
        <w:tc>
          <w:tcPr>
            <w:tcW w:w="808" w:type="dxa"/>
            <w:shd w:val="clear" w:color="auto" w:fill="auto"/>
            <w:vAlign w:val="bottom"/>
          </w:tcPr>
          <w:p>
            <w:pPr>
              <w:rPr>
                <w:rFonts w:hint="eastAsia" w:ascii="Arial" w:hAnsi="Arial" w:eastAsia="宋体" w:cs="Arial"/>
                <w:i w:val="0"/>
                <w:color w:val="000000"/>
                <w:sz w:val="20"/>
                <w:szCs w:val="20"/>
                <w:u w:val="none"/>
                <w:lang w:eastAsia="zh-CN"/>
              </w:rPr>
            </w:pPr>
          </w:p>
        </w:tc>
        <w:tc>
          <w:tcPr>
            <w:tcW w:w="2882" w:type="dxa"/>
            <w:gridSpan w:val="2"/>
            <w:shd w:val="clear" w:color="auto" w:fill="auto"/>
            <w:vAlign w:val="bottom"/>
          </w:tcPr>
          <w:p>
            <w:pPr>
              <w:rPr>
                <w:rFonts w:hint="default" w:ascii="Arial" w:hAnsi="Arial" w:cs="Arial"/>
                <w:i w:val="0"/>
                <w:color w:val="000000"/>
                <w:sz w:val="20"/>
                <w:szCs w:val="20"/>
                <w:u w:val="none"/>
              </w:rPr>
            </w:pPr>
          </w:p>
        </w:tc>
        <w:tc>
          <w:tcPr>
            <w:tcW w:w="1801" w:type="dxa"/>
            <w:gridSpan w:val="3"/>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567" w:type="dxa"/>
            <w:gridSpan w:val="2"/>
            <w:shd w:val="clear" w:color="auto" w:fill="auto"/>
            <w:vAlign w:val="bottom"/>
          </w:tcPr>
          <w:p>
            <w:pPr>
              <w:rPr>
                <w:rFonts w:hint="default" w:ascii="Arial" w:hAnsi="Arial" w:cs="Arial"/>
                <w:i w:val="0"/>
                <w:color w:val="000000"/>
                <w:sz w:val="20"/>
                <w:szCs w:val="20"/>
                <w:u w:val="none"/>
              </w:rPr>
            </w:pPr>
          </w:p>
        </w:tc>
        <w:tc>
          <w:tcPr>
            <w:tcW w:w="1353"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60" w:type="dxa"/>
            <w:gridSpan w:val="3"/>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60"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60" w:type="dxa"/>
            <w:gridSpan w:val="3"/>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567"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353"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31"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7"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3"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7"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3"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67"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53"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67"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53"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2,489.68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1,540.46</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21.33</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52.07</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2,278.53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1,329.31</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2,278.53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1,329.31</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49.58</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49.58</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6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35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spacing w:line="560" w:lineRule="exact"/>
        <w:rPr>
          <w:rFonts w:asciiTheme="minorEastAsia" w:hAnsiTheme="minorEastAsia"/>
          <w:sz w:val="22"/>
        </w:rPr>
      </w:pPr>
    </w:p>
    <w:p>
      <w:pPr>
        <w:pStyle w:val="2"/>
        <w:keepNext/>
        <w:keepLines/>
        <w:pageBreakBefore w:val="0"/>
        <w:widowControl w:val="0"/>
        <w:kinsoku/>
        <w:wordWrap/>
        <w:overflowPunct/>
        <w:topLinePunct w:val="0"/>
        <w:autoSpaceDE/>
        <w:autoSpaceDN/>
        <w:bidi w:val="0"/>
        <w:adjustRightInd/>
        <w:snapToGrid/>
        <w:spacing w:before="0" w:after="0" w:line="20" w:lineRule="atLeast"/>
        <w:ind w:left="0" w:leftChars="0" w:right="0" w:rightChars="0" w:firstLine="0" w:firstLineChars="0"/>
        <w:jc w:val="center"/>
        <w:textAlignment w:val="auto"/>
        <w:outlineLvl w:val="3"/>
        <w:rPr>
          <w:rFonts w:hint="eastAsia" w:eastAsia="等线 Light"/>
          <w:lang w:val="en-US" w:eastAsia="zh-CN"/>
        </w:rPr>
      </w:pPr>
      <w:r>
        <w:rPr>
          <w:rFonts w:hint="eastAsia" w:ascii="Arial" w:hAnsi="Arial" w:eastAsia="黑体" w:cs="Times New Roman"/>
          <w:b w:val="0"/>
          <w:bCs w:val="0"/>
          <w:kern w:val="0"/>
          <w:sz w:val="32"/>
          <w:szCs w:val="20"/>
          <w:lang w:val="en-US" w:eastAsia="zh-CN" w:bidi="ar-SA"/>
        </w:rPr>
        <w:t>支出决算表</w:t>
      </w:r>
    </w:p>
    <w:tbl>
      <w:tblPr>
        <w:tblStyle w:val="13"/>
        <w:tblpPr w:leftFromText="180" w:rightFromText="180" w:vertAnchor="text" w:horzAnchor="page" w:tblpX="1453" w:tblpY="555"/>
        <w:tblOverlap w:val="never"/>
        <w:tblW w:w="1376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48"/>
        <w:gridCol w:w="314"/>
        <w:gridCol w:w="603"/>
        <w:gridCol w:w="808"/>
        <w:gridCol w:w="2206"/>
        <w:gridCol w:w="1725"/>
        <w:gridCol w:w="76"/>
        <w:gridCol w:w="960"/>
        <w:gridCol w:w="765"/>
        <w:gridCol w:w="195"/>
        <w:gridCol w:w="45"/>
        <w:gridCol w:w="915"/>
        <w:gridCol w:w="45"/>
        <w:gridCol w:w="240"/>
        <w:gridCol w:w="240"/>
        <w:gridCol w:w="23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562"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eastAsia" w:ascii="Arial" w:hAnsi="Arial" w:cs="Arial"/>
                <w:i w:val="0"/>
                <w:color w:val="000000"/>
                <w:sz w:val="20"/>
                <w:szCs w:val="20"/>
                <w:u w:val="none"/>
              </w:rPr>
            </w:pPr>
          </w:p>
        </w:tc>
        <w:tc>
          <w:tcPr>
            <w:tcW w:w="603"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808"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3931"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1801" w:type="dxa"/>
            <w:gridSpan w:val="3"/>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960"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382"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562" w:type="dxa"/>
            <w:gridSpan w:val="2"/>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603"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808"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3931"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1801" w:type="dxa"/>
            <w:gridSpan w:val="3"/>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960" w:type="dxa"/>
            <w:gridSpan w:val="2"/>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40" w:type="dxa"/>
            <w:shd w:val="clear" w:color="auto" w:fill="auto"/>
            <w:vAlign w:val="bottom"/>
          </w:tcPr>
          <w:p>
            <w:pPr>
              <w:pageBreakBefore w:val="0"/>
              <w:kinsoku/>
              <w:wordWrap/>
              <w:overflowPunct/>
              <w:topLinePunct w:val="0"/>
              <w:autoSpaceDE/>
              <w:autoSpaceDN/>
              <w:bidi w:val="0"/>
              <w:adjustRightInd/>
              <w:snapToGrid/>
              <w:spacing w:line="20" w:lineRule="atLeast"/>
              <w:ind w:left="0" w:leftChars="0" w:right="0" w:rightChars="0" w:firstLine="0" w:firstLineChars="0"/>
              <w:rPr>
                <w:rFonts w:hint="default" w:ascii="Arial" w:hAnsi="Arial" w:cs="Arial"/>
                <w:i w:val="0"/>
                <w:color w:val="000000"/>
                <w:sz w:val="20"/>
                <w:szCs w:val="20"/>
                <w:u w:val="none"/>
              </w:rPr>
            </w:pPr>
          </w:p>
        </w:tc>
        <w:tc>
          <w:tcPr>
            <w:tcW w:w="2382"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01"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60"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60"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525" w:type="dxa"/>
            <w:gridSpan w:val="3"/>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2382" w:type="dxa"/>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31"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25"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25"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25" w:type="dxa"/>
            <w:gridSpan w:val="3"/>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2" w:type="dxa"/>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2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8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2,307.93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630.91</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1,677.02</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120.56</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120.56</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44.05</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55.15</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55.15</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21.36</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2,074.80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397.78</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1,677.02</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2,074.80</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397.78</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1,677.02</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64.43</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57.01</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248"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180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w:t>
            </w:r>
          </w:p>
        </w:tc>
        <w:tc>
          <w:tcPr>
            <w:tcW w:w="96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6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5"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38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tabs>
          <w:tab w:val="left" w:pos="1393"/>
        </w:tabs>
        <w:spacing w:line="560" w:lineRule="exact"/>
        <w:rPr>
          <w:rFonts w:hint="eastAsia" w:asciiTheme="minorEastAsia" w:hAnsiTheme="minorEastAsia" w:eastAsiaTheme="minorEastAsia"/>
          <w:sz w:val="22"/>
          <w:lang w:eastAsia="zh-CN"/>
        </w:rPr>
      </w:pPr>
      <w:r>
        <w:rPr>
          <w:rFonts w:hint="eastAsia" w:asciiTheme="minorEastAsia" w:hAnsiTheme="minorEastAsia"/>
          <w:sz w:val="22"/>
          <w:lang w:eastAsia="zh-CN"/>
        </w:rPr>
        <w:tab/>
      </w:r>
    </w:p>
    <w:tbl>
      <w:tblPr>
        <w:tblStyle w:val="13"/>
        <w:tblW w:w="10889" w:type="dxa"/>
        <w:jc w:val="center"/>
        <w:tblLayout w:type="fixed"/>
        <w:tblCellMar>
          <w:top w:w="0" w:type="dxa"/>
          <w:left w:w="108" w:type="dxa"/>
          <w:bottom w:w="0" w:type="dxa"/>
          <w:right w:w="108" w:type="dxa"/>
        </w:tblCellMar>
      </w:tblPr>
      <w:tblGrid>
        <w:gridCol w:w="10889"/>
      </w:tblGrid>
      <w:tr>
        <w:tblPrEx>
          <w:tblCellMar>
            <w:top w:w="0" w:type="dxa"/>
            <w:left w:w="108" w:type="dxa"/>
            <w:bottom w:w="0" w:type="dxa"/>
            <w:right w:w="108" w:type="dxa"/>
          </w:tblCellMar>
        </w:tblPrEx>
        <w:trPr>
          <w:trHeight w:val="390" w:hRule="atLeast"/>
          <w:jc w:val="center"/>
        </w:trPr>
        <w:tc>
          <w:tcPr>
            <w:tcW w:w="10889" w:type="dxa"/>
            <w:tcBorders>
              <w:top w:val="nil"/>
              <w:left w:val="nil"/>
              <w:bottom w:val="nil"/>
              <w:right w:val="nil"/>
            </w:tcBorders>
            <w:shd w:val="clear" w:color="auto" w:fill="auto"/>
            <w:vAlign w:val="center"/>
          </w:tcPr>
          <w:p>
            <w:pPr>
              <w:pStyle w:val="4"/>
              <w:pageBreakBefore w:val="0"/>
              <w:kinsoku/>
              <w:wordWrap/>
              <w:overflowPunct/>
              <w:topLinePunct w:val="0"/>
              <w:autoSpaceDE/>
              <w:autoSpaceDN/>
              <w:bidi w:val="0"/>
              <w:adjustRightInd/>
              <w:snapToGrid/>
              <w:spacing w:line="20" w:lineRule="atLeast"/>
              <w:ind w:left="0" w:leftChars="0" w:right="0" w:rightChars="0" w:firstLine="0" w:firstLineChars="0"/>
              <w:jc w:val="center"/>
              <w:rPr>
                <w:kern w:val="0"/>
              </w:rPr>
            </w:pPr>
            <w:bookmarkStart w:id="28" w:name="_Toc141265104"/>
            <w:r>
              <w:rPr>
                <w:rFonts w:hint="eastAsia"/>
                <w:kern w:val="0"/>
              </w:rPr>
              <w:t>财政拨款收入支出决算总表</w:t>
            </w:r>
            <w:bookmarkEnd w:id="28"/>
          </w:p>
        </w:tc>
      </w:tr>
    </w:tbl>
    <w:p>
      <w:pPr>
        <w:pageBreakBefore w:val="0"/>
        <w:kinsoku/>
        <w:wordWrap/>
        <w:overflowPunct/>
        <w:topLinePunct w:val="0"/>
        <w:autoSpaceDE/>
        <w:autoSpaceDN/>
        <w:bidi w:val="0"/>
        <w:adjustRightInd/>
        <w:snapToGrid/>
        <w:spacing w:line="20" w:lineRule="atLeast"/>
        <w:ind w:left="0" w:leftChars="0" w:right="0" w:rightChars="0" w:firstLine="0" w:firstLineChars="0"/>
        <w:rPr>
          <w:rFonts w:asciiTheme="minorEastAsia" w:hAnsiTheme="minorEastAsia"/>
          <w:sz w:val="22"/>
        </w:rPr>
      </w:pPr>
    </w:p>
    <w:tbl>
      <w:tblPr>
        <w:tblStyle w:val="13"/>
        <w:tblW w:w="138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50"/>
        <w:gridCol w:w="435"/>
        <w:gridCol w:w="2358"/>
        <w:gridCol w:w="2502"/>
        <w:gridCol w:w="1"/>
        <w:gridCol w:w="434"/>
        <w:gridCol w:w="1325"/>
        <w:gridCol w:w="1"/>
        <w:gridCol w:w="855"/>
        <w:gridCol w:w="1"/>
        <w:gridCol w:w="1233"/>
        <w:gridCol w:w="1013"/>
        <w:gridCol w:w="1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2250"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eastAsia" w:ascii="Arial" w:hAnsi="Arial" w:cs="Arial"/>
                <w:i w:val="0"/>
                <w:color w:val="000000"/>
                <w:sz w:val="20"/>
                <w:szCs w:val="20"/>
                <w:u w:val="none"/>
              </w:rPr>
            </w:pPr>
          </w:p>
        </w:tc>
        <w:tc>
          <w:tcPr>
            <w:tcW w:w="435"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358"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503"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434"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132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85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24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142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 w:hRule="atLeast"/>
        </w:trPr>
        <w:tc>
          <w:tcPr>
            <w:tcW w:w="225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435"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358"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503"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434" w:type="dxa"/>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132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85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2246" w:type="dxa"/>
            <w:gridSpan w:val="2"/>
            <w:shd w:val="clear" w:color="auto" w:fill="auto"/>
            <w:vAlign w:val="bottom"/>
          </w:tcPr>
          <w:p>
            <w:pPr>
              <w:pageBreakBefore w:val="0"/>
              <w:kinsoku/>
              <w:wordWrap/>
              <w:overflowPunct/>
              <w:topLinePunct w:val="0"/>
              <w:autoSpaceDE/>
              <w:autoSpaceDN/>
              <w:bidi w:val="0"/>
              <w:adjustRightInd/>
              <w:snapToGrid/>
              <w:spacing w:before="0" w:beforeLines="0" w:after="0" w:afterLines="0" w:line="20" w:lineRule="atLeast"/>
              <w:ind w:left="0" w:leftChars="0" w:right="0" w:rightChars="0" w:firstLine="0" w:firstLineChars="0"/>
              <w:rPr>
                <w:rFonts w:hint="default" w:ascii="Arial" w:hAnsi="Arial" w:cs="Arial"/>
                <w:i w:val="0"/>
                <w:color w:val="000000"/>
                <w:sz w:val="20"/>
                <w:szCs w:val="20"/>
                <w:u w:val="none"/>
              </w:rPr>
            </w:pPr>
          </w:p>
        </w:tc>
        <w:tc>
          <w:tcPr>
            <w:tcW w:w="1420"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20" w:lineRule="atLeast"/>
              <w:ind w:left="0" w:leftChars="0" w:right="0" w:rightChars="0" w:firstLine="0" w:firstLineChars="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5043"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8785" w:type="dxa"/>
            <w:gridSpan w:val="10"/>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2" w:hRule="atLeast"/>
        </w:trPr>
        <w:tc>
          <w:tcPr>
            <w:tcW w:w="2250"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2358"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50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35"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32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56"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234"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2433"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trPr>
        <w:tc>
          <w:tcPr>
            <w:tcW w:w="2250"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3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58"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50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35"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2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56"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34"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433"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5" w:type="dxa"/>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58"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35" w:type="dxa"/>
            <w:gridSpan w:val="2"/>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32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56"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34"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433"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1,540.46</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1,197.48</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1,197.48</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i w:val="0"/>
                <w:color w:val="000000"/>
                <w:sz w:val="20"/>
                <w:szCs w:val="20"/>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0"/>
                <w:szCs w:val="20"/>
                <w:u w:val="none"/>
              </w:rPr>
            </w:pP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358"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1,540.46</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1,404.12</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1,404.12</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179.78</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316.11</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316.11</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179.78</w:t>
            </w:r>
          </w:p>
        </w:tc>
        <w:tc>
          <w:tcPr>
            <w:tcW w:w="250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3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5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234"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0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3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5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234"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502"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32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856"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234"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33"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0" w:hRule="atLeast"/>
        </w:trPr>
        <w:tc>
          <w:tcPr>
            <w:tcW w:w="2250"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35"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35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1,720.24</w:t>
            </w:r>
          </w:p>
        </w:tc>
        <w:tc>
          <w:tcPr>
            <w:tcW w:w="250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35"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32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1,720.24</w:t>
            </w:r>
          </w:p>
        </w:tc>
        <w:tc>
          <w:tcPr>
            <w:tcW w:w="856"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1,720.24</w:t>
            </w:r>
          </w:p>
        </w:tc>
        <w:tc>
          <w:tcPr>
            <w:tcW w:w="1234"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433"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6" w:hRule="atLeast"/>
        </w:trPr>
        <w:tc>
          <w:tcPr>
            <w:tcW w:w="11395"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2433" w:type="dxa"/>
            <w:gridSpan w:val="2"/>
            <w:shd w:val="clear" w:color="auto" w:fill="auto"/>
            <w:vAlign w:val="center"/>
          </w:tcPr>
          <w:p>
            <w:pPr>
              <w:jc w:val="left"/>
              <w:rPr>
                <w:rFonts w:hint="eastAsia" w:ascii="宋体" w:hAnsi="宋体" w:eastAsia="宋体" w:cs="宋体"/>
                <w:i w:val="0"/>
                <w:color w:val="000000"/>
                <w:sz w:val="20"/>
                <w:szCs w:val="20"/>
                <w:u w:val="none"/>
              </w:rPr>
            </w:pPr>
          </w:p>
        </w:tc>
      </w:tr>
    </w:tbl>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pStyle w:val="2"/>
      </w:pPr>
    </w:p>
    <w:p>
      <w:pPr>
        <w:spacing w:line="560" w:lineRule="exact"/>
        <w:rPr>
          <w:rFonts w:asciiTheme="minorEastAsia" w:hAnsiTheme="minorEastAsia"/>
          <w:sz w:val="22"/>
        </w:rPr>
      </w:pPr>
    </w:p>
    <w:tbl>
      <w:tblPr>
        <w:tblStyle w:val="13"/>
        <w:tblW w:w="13965" w:type="dxa"/>
        <w:jc w:val="center"/>
        <w:tblLayout w:type="fixed"/>
        <w:tblCellMar>
          <w:top w:w="0" w:type="dxa"/>
          <w:left w:w="108" w:type="dxa"/>
          <w:bottom w:w="0" w:type="dxa"/>
          <w:right w:w="108" w:type="dxa"/>
        </w:tblCellMar>
      </w:tblPr>
      <w:tblGrid>
        <w:gridCol w:w="2"/>
        <w:gridCol w:w="686"/>
        <w:gridCol w:w="754"/>
        <w:gridCol w:w="808"/>
        <w:gridCol w:w="975"/>
        <w:gridCol w:w="754"/>
        <w:gridCol w:w="808"/>
        <w:gridCol w:w="1394"/>
        <w:gridCol w:w="2251"/>
        <w:gridCol w:w="286"/>
        <w:gridCol w:w="240"/>
        <w:gridCol w:w="434"/>
        <w:gridCol w:w="526"/>
        <w:gridCol w:w="1034"/>
        <w:gridCol w:w="2908"/>
        <w:gridCol w:w="105"/>
      </w:tblGrid>
      <w:tr>
        <w:tblPrEx>
          <w:tblCellMar>
            <w:top w:w="0" w:type="dxa"/>
            <w:left w:w="108" w:type="dxa"/>
            <w:bottom w:w="0" w:type="dxa"/>
            <w:right w:w="108" w:type="dxa"/>
          </w:tblCellMar>
        </w:tblPrEx>
        <w:trPr>
          <w:gridAfter w:val="2"/>
          <w:wAfter w:w="3013" w:type="dxa"/>
          <w:trHeight w:val="396" w:hRule="atLeast"/>
          <w:jc w:val="center"/>
        </w:trPr>
        <w:tc>
          <w:tcPr>
            <w:tcW w:w="10952" w:type="dxa"/>
            <w:gridSpan w:val="14"/>
            <w:tcBorders>
              <w:top w:val="nil"/>
              <w:left w:val="nil"/>
              <w:bottom w:val="nil"/>
              <w:right w:val="nil"/>
            </w:tcBorders>
            <w:shd w:val="clear" w:color="auto" w:fill="auto"/>
            <w:vAlign w:val="bottom"/>
          </w:tcPr>
          <w:p>
            <w:pPr>
              <w:pStyle w:val="4"/>
              <w:ind w:firstLine="0" w:firstLineChars="0"/>
              <w:jc w:val="center"/>
              <w:rPr>
                <w:kern w:val="0"/>
              </w:rPr>
            </w:pPr>
            <w:bookmarkStart w:id="29" w:name="_Toc141265105"/>
            <w:r>
              <w:rPr>
                <w:rFonts w:hint="eastAsia"/>
                <w:kern w:val="0"/>
                <w:lang w:val="en-US" w:eastAsia="zh-CN"/>
              </w:rPr>
              <w:t xml:space="preserve">         </w:t>
            </w:r>
            <w:r>
              <w:rPr>
                <w:rFonts w:hint="eastAsia"/>
                <w:kern w:val="0"/>
              </w:rPr>
              <w:t>一般公共预算财政拨款支出决算表</w:t>
            </w:r>
            <w:bookmarkEnd w:id="2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gridAfter w:val="1"/>
          <w:wBefore w:w="2" w:type="dxa"/>
          <w:wAfter w:w="105" w:type="dxa"/>
          <w:trHeight w:val="286" w:hRule="atLeast"/>
          <w:jc w:val="center"/>
        </w:trPr>
        <w:tc>
          <w:tcPr>
            <w:tcW w:w="686" w:type="dxa"/>
            <w:shd w:val="clear" w:color="auto" w:fill="auto"/>
            <w:vAlign w:val="bottom"/>
          </w:tcPr>
          <w:p>
            <w:pPr>
              <w:rPr>
                <w:rFonts w:hint="eastAsia" w:ascii="Arial" w:hAnsi="Arial" w:cs="Arial"/>
                <w:i w:val="0"/>
                <w:color w:val="000000"/>
                <w:sz w:val="20"/>
                <w:szCs w:val="20"/>
                <w:u w:val="none"/>
              </w:rPr>
            </w:pP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gridSpan w:val="4"/>
            <w:shd w:val="clear" w:color="auto" w:fill="auto"/>
            <w:vAlign w:val="bottom"/>
          </w:tcPr>
          <w:p>
            <w:pPr>
              <w:rPr>
                <w:rFonts w:hint="default" w:ascii="Arial" w:hAnsi="Arial" w:cs="Arial"/>
                <w:i w:val="0"/>
                <w:color w:val="000000"/>
                <w:sz w:val="20"/>
                <w:szCs w:val="20"/>
                <w:u w:val="none"/>
              </w:rPr>
            </w:pPr>
          </w:p>
        </w:tc>
        <w:tc>
          <w:tcPr>
            <w:tcW w:w="2251" w:type="dxa"/>
            <w:shd w:val="clear" w:color="auto" w:fill="auto"/>
            <w:vAlign w:val="bottom"/>
          </w:tcPr>
          <w:p>
            <w:pPr>
              <w:rPr>
                <w:rFonts w:hint="default" w:ascii="Arial" w:hAnsi="Arial" w:cs="Arial"/>
                <w:i w:val="0"/>
                <w:color w:val="000000"/>
                <w:sz w:val="20"/>
                <w:szCs w:val="20"/>
                <w:u w:val="none"/>
              </w:rPr>
            </w:pPr>
          </w:p>
        </w:tc>
        <w:tc>
          <w:tcPr>
            <w:tcW w:w="526" w:type="dxa"/>
            <w:gridSpan w:val="2"/>
            <w:shd w:val="clear" w:color="auto" w:fill="auto"/>
            <w:vAlign w:val="bottom"/>
          </w:tcPr>
          <w:p>
            <w:pPr>
              <w:rPr>
                <w:rFonts w:hint="default" w:ascii="Arial" w:hAnsi="Arial" w:cs="Arial"/>
                <w:i w:val="0"/>
                <w:color w:val="000000"/>
                <w:sz w:val="20"/>
                <w:szCs w:val="20"/>
                <w:u w:val="none"/>
              </w:rPr>
            </w:pPr>
          </w:p>
        </w:tc>
        <w:tc>
          <w:tcPr>
            <w:tcW w:w="4902"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286" w:hRule="atLeast"/>
          <w:jc w:val="center"/>
        </w:trPr>
        <w:tc>
          <w:tcPr>
            <w:tcW w:w="3223" w:type="dxa"/>
            <w:gridSpan w:val="4"/>
            <w:shd w:val="clear" w:color="auto" w:fill="auto"/>
            <w:vAlign w:val="bottom"/>
          </w:tcPr>
          <w:p>
            <w:pPr>
              <w:keepNext w:val="0"/>
              <w:keepLines w:val="0"/>
              <w:widowControl/>
              <w:suppressLineNumbers w:val="0"/>
              <w:tabs>
                <w:tab w:val="left" w:pos="630"/>
              </w:tabs>
              <w:ind w:left="16" w:leftChars="0" w:right="-403" w:rightChars="-192" w:hanging="16" w:hangingChars="8"/>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754" w:type="dxa"/>
            <w:shd w:val="clear" w:color="auto" w:fill="auto"/>
            <w:vAlign w:val="bottom"/>
          </w:tcPr>
          <w:p>
            <w:pPr>
              <w:rPr>
                <w:rFonts w:hint="default" w:ascii="Arial" w:hAnsi="Arial" w:cs="Arial"/>
                <w:i w:val="0"/>
                <w:color w:val="000000"/>
                <w:sz w:val="20"/>
                <w:szCs w:val="20"/>
                <w:u w:val="none"/>
              </w:rPr>
            </w:pPr>
          </w:p>
        </w:tc>
        <w:tc>
          <w:tcPr>
            <w:tcW w:w="808" w:type="dxa"/>
            <w:shd w:val="clear" w:color="auto" w:fill="auto"/>
            <w:vAlign w:val="bottom"/>
          </w:tcPr>
          <w:p>
            <w:pPr>
              <w:rPr>
                <w:rFonts w:hint="default" w:ascii="Arial" w:hAnsi="Arial" w:cs="Arial"/>
                <w:i w:val="0"/>
                <w:color w:val="000000"/>
                <w:sz w:val="20"/>
                <w:szCs w:val="20"/>
                <w:u w:val="none"/>
              </w:rPr>
            </w:pPr>
          </w:p>
        </w:tc>
        <w:tc>
          <w:tcPr>
            <w:tcW w:w="3931" w:type="dxa"/>
            <w:gridSpan w:val="3"/>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960" w:type="dxa"/>
            <w:gridSpan w:val="2"/>
            <w:shd w:val="clear" w:color="auto" w:fill="auto"/>
            <w:vAlign w:val="bottom"/>
          </w:tcPr>
          <w:p>
            <w:pPr>
              <w:rPr>
                <w:rFonts w:hint="default" w:ascii="Arial" w:hAnsi="Arial" w:cs="Arial"/>
                <w:i w:val="0"/>
                <w:color w:val="000000"/>
                <w:sz w:val="20"/>
                <w:szCs w:val="20"/>
                <w:u w:val="none"/>
              </w:rPr>
            </w:pPr>
          </w:p>
        </w:tc>
        <w:tc>
          <w:tcPr>
            <w:tcW w:w="4047"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7"/>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784" w:type="dxa"/>
            <w:gridSpan w:val="8"/>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0" w:hRule="atLeast"/>
          <w:jc w:val="center"/>
        </w:trPr>
        <w:tc>
          <w:tcPr>
            <w:tcW w:w="2248" w:type="dxa"/>
            <w:gridSpan w:val="3"/>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31"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25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60" w:type="dxa"/>
            <w:gridSpan w:val="3"/>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4573"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27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5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573"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0" w:hRule="atLeast"/>
          <w:jc w:val="center"/>
        </w:trPr>
        <w:tc>
          <w:tcPr>
            <w:tcW w:w="2248" w:type="dxa"/>
            <w:gridSpan w:val="3"/>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5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4573"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7"/>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25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573" w:type="dxa"/>
            <w:gridSpan w:val="4"/>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7"/>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1,404.12</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451.08</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103.92</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行政单位离退休</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39.92</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39.92</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21.33</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21.33</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48.14</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资源勘探工业信息等支出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1,197.48</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244.43</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21505</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工业和信息产业监管</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1,197.48</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244.43</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54.59</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49.58</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49.58</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2210203</w:t>
            </w:r>
          </w:p>
        </w:tc>
        <w:tc>
          <w:tcPr>
            <w:tcW w:w="3931"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购房补贴</w:t>
            </w:r>
          </w:p>
        </w:tc>
        <w:tc>
          <w:tcPr>
            <w:tcW w:w="225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960"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4573"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13963" w:type="dxa"/>
            <w:gridSpan w:val="15"/>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spacing w:line="560" w:lineRule="exact"/>
        <w:rPr>
          <w:rFonts w:asciiTheme="minorEastAsia" w:hAnsiTheme="minorEastAsia"/>
          <w:sz w:val="22"/>
        </w:rPr>
      </w:pPr>
    </w:p>
    <w:p>
      <w:pPr>
        <w:spacing w:line="560" w:lineRule="exact"/>
        <w:rPr>
          <w:rFonts w:asciiTheme="minorEastAsia" w:hAnsiTheme="minorEastAsia"/>
          <w:sz w:val="22"/>
        </w:rPr>
      </w:pPr>
    </w:p>
    <w:tbl>
      <w:tblPr>
        <w:tblStyle w:val="13"/>
        <w:tblW w:w="14862" w:type="dxa"/>
        <w:jc w:val="center"/>
        <w:tblLayout w:type="fixed"/>
        <w:tblCellMar>
          <w:top w:w="0" w:type="dxa"/>
          <w:left w:w="108" w:type="dxa"/>
          <w:bottom w:w="0" w:type="dxa"/>
          <w:right w:w="108" w:type="dxa"/>
        </w:tblCellMar>
      </w:tblPr>
      <w:tblGrid>
        <w:gridCol w:w="93"/>
        <w:gridCol w:w="734"/>
        <w:gridCol w:w="1769"/>
        <w:gridCol w:w="1410"/>
        <w:gridCol w:w="1769"/>
        <w:gridCol w:w="31"/>
        <w:gridCol w:w="734"/>
        <w:gridCol w:w="1035"/>
        <w:gridCol w:w="734"/>
        <w:gridCol w:w="1006"/>
        <w:gridCol w:w="1214"/>
        <w:gridCol w:w="734"/>
        <w:gridCol w:w="2385"/>
        <w:gridCol w:w="1214"/>
      </w:tblGrid>
      <w:tr>
        <w:tblPrEx>
          <w:tblCellMar>
            <w:top w:w="0" w:type="dxa"/>
            <w:left w:w="108" w:type="dxa"/>
            <w:bottom w:w="0" w:type="dxa"/>
            <w:right w:w="108" w:type="dxa"/>
          </w:tblCellMar>
        </w:tblPrEx>
        <w:trPr>
          <w:trHeight w:val="390" w:hRule="atLeast"/>
          <w:jc w:val="center"/>
        </w:trPr>
        <w:tc>
          <w:tcPr>
            <w:tcW w:w="14862" w:type="dxa"/>
            <w:gridSpan w:val="14"/>
            <w:tcBorders>
              <w:top w:val="nil"/>
              <w:left w:val="nil"/>
              <w:bottom w:val="nil"/>
              <w:right w:val="nil"/>
            </w:tcBorders>
            <w:shd w:val="clear" w:color="auto" w:fill="auto"/>
            <w:vAlign w:val="bottom"/>
          </w:tcPr>
          <w:p>
            <w:pPr>
              <w:pStyle w:val="4"/>
              <w:ind w:left="-2" w:leftChars="-1" w:firstLine="2" w:firstLineChars="0"/>
              <w:jc w:val="center"/>
              <w:rPr>
                <w:kern w:val="0"/>
              </w:rPr>
            </w:pPr>
            <w:bookmarkStart w:id="30" w:name="_Toc141265106"/>
            <w:r>
              <w:rPr>
                <w:rFonts w:hint="eastAsia"/>
                <w:kern w:val="0"/>
              </w:rPr>
              <w:t>一般公共预算财政拨款基本支出决算明细表</w:t>
            </w:r>
            <w:bookmarkEnd w:id="3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286" w:hRule="atLeast"/>
          <w:jc w:val="center"/>
        </w:trPr>
        <w:tc>
          <w:tcPr>
            <w:tcW w:w="2503" w:type="dxa"/>
            <w:gridSpan w:val="2"/>
            <w:shd w:val="clear" w:color="auto" w:fill="auto"/>
            <w:vAlign w:val="bottom"/>
          </w:tcPr>
          <w:p>
            <w:pPr>
              <w:rPr>
                <w:rFonts w:hint="eastAsia" w:ascii="Arial" w:hAnsi="Arial" w:cs="Arial"/>
                <w:i w:val="0"/>
                <w:color w:val="000000"/>
                <w:sz w:val="20"/>
                <w:szCs w:val="20"/>
                <w:u w:val="none"/>
              </w:rPr>
            </w:pPr>
          </w:p>
        </w:tc>
        <w:tc>
          <w:tcPr>
            <w:tcW w:w="3179" w:type="dxa"/>
            <w:gridSpan w:val="2"/>
            <w:shd w:val="clear" w:color="auto" w:fill="auto"/>
            <w:vAlign w:val="bottom"/>
          </w:tcPr>
          <w:p>
            <w:pPr>
              <w:rPr>
                <w:rFonts w:hint="default" w:ascii="Arial" w:hAnsi="Arial" w:cs="Arial"/>
                <w:i w:val="0"/>
                <w:color w:val="000000"/>
                <w:sz w:val="20"/>
                <w:szCs w:val="20"/>
                <w:u w:val="none"/>
              </w:rPr>
            </w:pPr>
          </w:p>
        </w:tc>
        <w:tc>
          <w:tcPr>
            <w:tcW w:w="1800" w:type="dxa"/>
            <w:gridSpan w:val="3"/>
            <w:shd w:val="clear" w:color="auto" w:fill="auto"/>
            <w:vAlign w:val="bottom"/>
          </w:tcPr>
          <w:p>
            <w:pPr>
              <w:rPr>
                <w:rFonts w:hint="default" w:ascii="Arial" w:hAnsi="Arial" w:cs="Arial"/>
                <w:i w:val="0"/>
                <w:color w:val="000000"/>
                <w:sz w:val="20"/>
                <w:szCs w:val="20"/>
                <w:u w:val="none"/>
              </w:rPr>
            </w:pPr>
          </w:p>
        </w:tc>
        <w:tc>
          <w:tcPr>
            <w:tcW w:w="734" w:type="dxa"/>
            <w:shd w:val="clear" w:color="auto" w:fill="auto"/>
            <w:vAlign w:val="bottom"/>
          </w:tcPr>
          <w:p>
            <w:pPr>
              <w:rPr>
                <w:rFonts w:hint="default" w:ascii="Arial" w:hAnsi="Arial" w:cs="Arial"/>
                <w:i w:val="0"/>
                <w:color w:val="000000"/>
                <w:sz w:val="20"/>
                <w:szCs w:val="20"/>
                <w:u w:val="none"/>
              </w:rPr>
            </w:pPr>
          </w:p>
        </w:tc>
        <w:tc>
          <w:tcPr>
            <w:tcW w:w="1006" w:type="dxa"/>
            <w:shd w:val="clear" w:color="auto" w:fill="auto"/>
            <w:vAlign w:val="bottom"/>
          </w:tcPr>
          <w:p>
            <w:pPr>
              <w:rPr>
                <w:rFonts w:hint="default" w:ascii="Arial" w:hAnsi="Arial" w:cs="Arial"/>
                <w:i w:val="0"/>
                <w:color w:val="000000"/>
                <w:sz w:val="20"/>
                <w:szCs w:val="20"/>
                <w:u w:val="none"/>
              </w:rPr>
            </w:pPr>
          </w:p>
        </w:tc>
        <w:tc>
          <w:tcPr>
            <w:tcW w:w="1214" w:type="dxa"/>
            <w:shd w:val="clear" w:color="auto" w:fill="auto"/>
            <w:vAlign w:val="bottom"/>
          </w:tcPr>
          <w:p>
            <w:pPr>
              <w:rPr>
                <w:rFonts w:hint="default" w:ascii="Arial" w:hAnsi="Arial" w:cs="Arial"/>
                <w:i w:val="0"/>
                <w:color w:val="000000"/>
                <w:sz w:val="20"/>
                <w:szCs w:val="20"/>
                <w:u w:val="none"/>
              </w:rPr>
            </w:pPr>
          </w:p>
        </w:tc>
        <w:tc>
          <w:tcPr>
            <w:tcW w:w="734" w:type="dxa"/>
            <w:shd w:val="clear" w:color="auto" w:fill="auto"/>
            <w:vAlign w:val="bottom"/>
          </w:tcPr>
          <w:p>
            <w:pPr>
              <w:rPr>
                <w:rFonts w:hint="default" w:ascii="Arial" w:hAnsi="Arial" w:cs="Arial"/>
                <w:i w:val="0"/>
                <w:color w:val="000000"/>
                <w:sz w:val="20"/>
                <w:szCs w:val="20"/>
                <w:u w:val="none"/>
              </w:rPr>
            </w:pPr>
          </w:p>
        </w:tc>
        <w:tc>
          <w:tcPr>
            <w:tcW w:w="2385" w:type="dxa"/>
            <w:shd w:val="clear" w:color="auto" w:fill="auto"/>
            <w:vAlign w:val="bottom"/>
          </w:tcPr>
          <w:p>
            <w:pPr>
              <w:rPr>
                <w:rFonts w:hint="default" w:ascii="Arial" w:hAnsi="Arial" w:cs="Arial"/>
                <w:i w:val="0"/>
                <w:color w:val="000000"/>
                <w:sz w:val="20"/>
                <w:szCs w:val="20"/>
                <w:u w:val="none"/>
              </w:rPr>
            </w:pPr>
          </w:p>
        </w:tc>
        <w:tc>
          <w:tcPr>
            <w:tcW w:w="121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286" w:hRule="atLeast"/>
          <w:jc w:val="center"/>
        </w:trPr>
        <w:tc>
          <w:tcPr>
            <w:tcW w:w="2503" w:type="dxa"/>
            <w:gridSpan w:val="2"/>
            <w:shd w:val="clear" w:color="auto" w:fill="auto"/>
            <w:vAlign w:val="bottom"/>
          </w:tcPr>
          <w:p>
            <w:pPr>
              <w:keepNext w:val="0"/>
              <w:keepLines w:val="0"/>
              <w:widowControl/>
              <w:suppressLineNumbers w:val="0"/>
              <w:tabs>
                <w:tab w:val="left" w:pos="420"/>
                <w:tab w:val="left" w:pos="630"/>
              </w:tabs>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3179" w:type="dxa"/>
            <w:gridSpan w:val="2"/>
            <w:shd w:val="clear" w:color="auto" w:fill="auto"/>
            <w:vAlign w:val="bottom"/>
          </w:tcPr>
          <w:p>
            <w:pPr>
              <w:ind w:left="838" w:leftChars="399" w:firstLine="2" w:firstLineChars="0"/>
              <w:rPr>
                <w:rFonts w:hint="default" w:ascii="Arial" w:hAnsi="Arial" w:cs="Arial"/>
                <w:i w:val="0"/>
                <w:color w:val="000000"/>
                <w:sz w:val="20"/>
                <w:szCs w:val="20"/>
                <w:u w:val="none"/>
              </w:rPr>
            </w:pPr>
          </w:p>
        </w:tc>
        <w:tc>
          <w:tcPr>
            <w:tcW w:w="1800" w:type="dxa"/>
            <w:gridSpan w:val="3"/>
            <w:shd w:val="clear" w:color="auto" w:fill="auto"/>
            <w:vAlign w:val="bottom"/>
          </w:tcPr>
          <w:p>
            <w:pPr>
              <w:rPr>
                <w:rFonts w:hint="default" w:ascii="Arial" w:hAnsi="Arial" w:cs="Arial"/>
                <w:i w:val="0"/>
                <w:color w:val="000000"/>
                <w:sz w:val="20"/>
                <w:szCs w:val="20"/>
                <w:u w:val="none"/>
              </w:rPr>
            </w:pPr>
          </w:p>
        </w:tc>
        <w:tc>
          <w:tcPr>
            <w:tcW w:w="734" w:type="dxa"/>
            <w:shd w:val="clear" w:color="auto" w:fill="auto"/>
            <w:vAlign w:val="bottom"/>
          </w:tcPr>
          <w:p>
            <w:pPr>
              <w:rPr>
                <w:rFonts w:hint="default" w:ascii="Arial" w:hAnsi="Arial" w:cs="Arial"/>
                <w:i w:val="0"/>
                <w:color w:val="000000"/>
                <w:sz w:val="20"/>
                <w:szCs w:val="20"/>
                <w:u w:val="none"/>
              </w:rPr>
            </w:pPr>
          </w:p>
        </w:tc>
        <w:tc>
          <w:tcPr>
            <w:tcW w:w="1006" w:type="dxa"/>
            <w:shd w:val="clear" w:color="auto" w:fill="auto"/>
            <w:vAlign w:val="bottom"/>
          </w:tcPr>
          <w:p>
            <w:pPr>
              <w:rPr>
                <w:rFonts w:hint="default" w:ascii="Arial" w:hAnsi="Arial" w:cs="Arial"/>
                <w:i w:val="0"/>
                <w:color w:val="000000"/>
                <w:sz w:val="20"/>
                <w:szCs w:val="20"/>
                <w:u w:val="none"/>
              </w:rPr>
            </w:pPr>
          </w:p>
        </w:tc>
        <w:tc>
          <w:tcPr>
            <w:tcW w:w="1214" w:type="dxa"/>
            <w:shd w:val="clear" w:color="auto" w:fill="auto"/>
            <w:vAlign w:val="bottom"/>
          </w:tcPr>
          <w:p>
            <w:pPr>
              <w:rPr>
                <w:rFonts w:hint="default" w:ascii="Arial" w:hAnsi="Arial" w:cs="Arial"/>
                <w:i w:val="0"/>
                <w:color w:val="000000"/>
                <w:sz w:val="20"/>
                <w:szCs w:val="20"/>
                <w:u w:val="none"/>
              </w:rPr>
            </w:pPr>
          </w:p>
        </w:tc>
        <w:tc>
          <w:tcPr>
            <w:tcW w:w="734" w:type="dxa"/>
            <w:shd w:val="clear" w:color="auto" w:fill="auto"/>
            <w:vAlign w:val="bottom"/>
          </w:tcPr>
          <w:p>
            <w:pPr>
              <w:rPr>
                <w:rFonts w:hint="default" w:ascii="Arial" w:hAnsi="Arial" w:cs="Arial"/>
                <w:i w:val="0"/>
                <w:color w:val="000000"/>
                <w:sz w:val="20"/>
                <w:szCs w:val="20"/>
                <w:u w:val="none"/>
              </w:rPr>
            </w:pPr>
          </w:p>
        </w:tc>
        <w:tc>
          <w:tcPr>
            <w:tcW w:w="2385" w:type="dxa"/>
            <w:shd w:val="clear" w:color="auto" w:fill="auto"/>
            <w:vAlign w:val="bottom"/>
          </w:tcPr>
          <w:p>
            <w:pPr>
              <w:rPr>
                <w:rFonts w:hint="default" w:ascii="Arial" w:hAnsi="Arial" w:cs="Arial"/>
                <w:i w:val="0"/>
                <w:color w:val="000000"/>
                <w:sz w:val="20"/>
                <w:szCs w:val="20"/>
                <w:u w:val="none"/>
              </w:rPr>
            </w:pPr>
          </w:p>
        </w:tc>
        <w:tc>
          <w:tcPr>
            <w:tcW w:w="1214"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5713"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9056" w:type="dxa"/>
            <w:gridSpan w:val="8"/>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0" w:hRule="atLeast"/>
          <w:jc w:val="center"/>
        </w:trPr>
        <w:tc>
          <w:tcPr>
            <w:tcW w:w="734"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179"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0"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775" w:type="dxa"/>
            <w:gridSpan w:val="3"/>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1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3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385"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14"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0" w:hRule="atLeast"/>
          <w:jc w:val="center"/>
        </w:trPr>
        <w:tc>
          <w:tcPr>
            <w:tcW w:w="734"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179"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80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3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775"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1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73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385"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214"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341.71</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72.29</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79.48</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91.24</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0.57</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42.67</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21.33</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0.59</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31.54</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15.55</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0.33</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0.35</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0.85</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49.58</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37.08</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21.71</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14.87</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0.08</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39910</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2385"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3179"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73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38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1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734" w:type="dxa"/>
            <w:tcBorders>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3179" w:type="dxa"/>
            <w:gridSpan w:val="2"/>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80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734" w:type="dxa"/>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775"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734"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2385" w:type="dxa"/>
            <w:tcBorders>
              <w:bottom w:val="single" w:color="000000" w:sz="4" w:space="0"/>
              <w:right w:val="single" w:color="000000" w:sz="4" w:space="0"/>
            </w:tcBorders>
            <w:shd w:val="clear" w:color="FFFFFF" w:fill="C0C0C0"/>
            <w:vAlign w:val="center"/>
          </w:tcPr>
          <w:p>
            <w:pPr>
              <w:jc w:val="left"/>
              <w:rPr>
                <w:rFonts w:hint="eastAsia" w:ascii="宋体" w:hAnsi="宋体" w:eastAsia="宋体" w:cs="宋体"/>
                <w:i w:val="0"/>
                <w:color w:val="000000"/>
                <w:sz w:val="22"/>
                <w:szCs w:val="22"/>
                <w:u w:val="none"/>
              </w:rPr>
            </w:pPr>
          </w:p>
        </w:tc>
        <w:tc>
          <w:tcPr>
            <w:tcW w:w="1214"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3913" w:type="dxa"/>
            <w:gridSpan w:val="3"/>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800"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378.79</w:t>
            </w:r>
          </w:p>
        </w:tc>
        <w:tc>
          <w:tcPr>
            <w:tcW w:w="7842" w:type="dxa"/>
            <w:gridSpan w:val="7"/>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21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93" w:type="dxa"/>
          <w:trHeight w:val="301" w:hRule="atLeast"/>
          <w:jc w:val="center"/>
        </w:trPr>
        <w:tc>
          <w:tcPr>
            <w:tcW w:w="14769" w:type="dxa"/>
            <w:gridSpan w:val="1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注：本表反映部门本年度一般公共预算财政拨款基本支出明细情况。</w:t>
            </w:r>
          </w:p>
        </w:tc>
      </w:tr>
    </w:tbl>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hint="eastAsia" w:asciiTheme="minorEastAsia" w:hAnsiTheme="minorEastAsia"/>
          <w:sz w:val="22"/>
        </w:rPr>
      </w:pPr>
    </w:p>
    <w:p>
      <w:pPr>
        <w:spacing w:line="560" w:lineRule="exact"/>
        <w:rPr>
          <w:rFonts w:hint="eastAsia" w:asciiTheme="minorEastAsia" w:hAnsiTheme="minorEastAsia"/>
          <w:sz w:val="22"/>
        </w:rPr>
      </w:pPr>
    </w:p>
    <w:p>
      <w:pPr>
        <w:pStyle w:val="2"/>
        <w:rPr>
          <w:rFonts w:hint="eastAsia"/>
        </w:rPr>
      </w:pPr>
    </w:p>
    <w:tbl>
      <w:tblPr>
        <w:tblStyle w:val="13"/>
        <w:tblW w:w="13950" w:type="dxa"/>
        <w:jc w:val="center"/>
        <w:tblLayout w:type="fixed"/>
        <w:tblCellMar>
          <w:top w:w="0" w:type="dxa"/>
          <w:left w:w="108" w:type="dxa"/>
          <w:bottom w:w="0" w:type="dxa"/>
          <w:right w:w="108" w:type="dxa"/>
        </w:tblCellMar>
      </w:tblPr>
      <w:tblGrid>
        <w:gridCol w:w="2"/>
        <w:gridCol w:w="2248"/>
        <w:gridCol w:w="465"/>
        <w:gridCol w:w="959"/>
        <w:gridCol w:w="959"/>
        <w:gridCol w:w="1548"/>
        <w:gridCol w:w="824"/>
        <w:gridCol w:w="857"/>
        <w:gridCol w:w="824"/>
        <w:gridCol w:w="136"/>
        <w:gridCol w:w="104"/>
        <w:gridCol w:w="856"/>
        <w:gridCol w:w="715"/>
        <w:gridCol w:w="240"/>
        <w:gridCol w:w="5"/>
        <w:gridCol w:w="309"/>
        <w:gridCol w:w="651"/>
        <w:gridCol w:w="2190"/>
        <w:gridCol w:w="58"/>
      </w:tblGrid>
      <w:tr>
        <w:tblPrEx>
          <w:tblCellMar>
            <w:top w:w="0" w:type="dxa"/>
            <w:left w:w="108" w:type="dxa"/>
            <w:bottom w:w="0" w:type="dxa"/>
            <w:right w:w="108" w:type="dxa"/>
          </w:tblCellMar>
        </w:tblPrEx>
        <w:trPr>
          <w:trHeight w:val="732" w:hRule="atLeast"/>
          <w:jc w:val="center"/>
        </w:trPr>
        <w:tc>
          <w:tcPr>
            <w:tcW w:w="13950" w:type="dxa"/>
            <w:gridSpan w:val="19"/>
            <w:tcBorders>
              <w:top w:val="nil"/>
              <w:left w:val="nil"/>
              <w:bottom w:val="nil"/>
              <w:right w:val="nil"/>
            </w:tcBorders>
            <w:shd w:val="clear" w:color="auto" w:fill="auto"/>
            <w:vAlign w:val="bottom"/>
          </w:tcPr>
          <w:p>
            <w:pPr>
              <w:pStyle w:val="4"/>
              <w:ind w:firstLine="0" w:firstLineChars="0"/>
              <w:jc w:val="center"/>
            </w:pPr>
            <w:bookmarkStart w:id="31" w:name="_Toc141265107"/>
            <w:r>
              <w:rPr>
                <w:rFonts w:hint="eastAsia"/>
                <w:lang w:val="en-US" w:eastAsia="zh-CN"/>
              </w:rPr>
              <w:t xml:space="preserve">         </w:t>
            </w:r>
            <w:r>
              <w:rPr>
                <w:rFonts w:hint="eastAsia"/>
              </w:rPr>
              <w:t>政府性基金预算财政拨款收入支出决算表</w:t>
            </w:r>
            <w:bookmarkEnd w:id="3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gridAfter w:val="1"/>
          <w:wBefore w:w="2" w:type="dxa"/>
          <w:wAfter w:w="58" w:type="dxa"/>
          <w:trHeight w:val="282" w:hRule="atLeast"/>
          <w:jc w:val="center"/>
        </w:trPr>
        <w:tc>
          <w:tcPr>
            <w:tcW w:w="2713" w:type="dxa"/>
            <w:gridSpan w:val="2"/>
            <w:shd w:val="clear" w:color="auto" w:fill="auto"/>
            <w:vAlign w:val="bottom"/>
          </w:tcPr>
          <w:p>
            <w:pPr>
              <w:rPr>
                <w:rFonts w:hint="eastAsia"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2372" w:type="dxa"/>
            <w:gridSpan w:val="2"/>
            <w:shd w:val="clear" w:color="auto" w:fill="auto"/>
            <w:vAlign w:val="bottom"/>
          </w:tcPr>
          <w:p>
            <w:pPr>
              <w:rPr>
                <w:rFonts w:hint="default" w:ascii="Arial" w:hAnsi="Arial" w:cs="Arial"/>
                <w:i w:val="0"/>
                <w:color w:val="000000"/>
                <w:sz w:val="20"/>
                <w:szCs w:val="20"/>
                <w:u w:val="none"/>
              </w:rPr>
            </w:pPr>
          </w:p>
        </w:tc>
        <w:tc>
          <w:tcPr>
            <w:tcW w:w="1681" w:type="dxa"/>
            <w:gridSpan w:val="2"/>
            <w:shd w:val="clear" w:color="auto" w:fill="auto"/>
            <w:vAlign w:val="bottom"/>
          </w:tcPr>
          <w:p>
            <w:pPr>
              <w:rPr>
                <w:rFonts w:hint="default" w:ascii="Arial" w:hAnsi="Arial" w:cs="Arial"/>
                <w:i w:val="0"/>
                <w:color w:val="000000"/>
                <w:sz w:val="20"/>
                <w:szCs w:val="20"/>
                <w:u w:val="none"/>
              </w:rPr>
            </w:pPr>
          </w:p>
        </w:tc>
        <w:tc>
          <w:tcPr>
            <w:tcW w:w="240" w:type="dxa"/>
            <w:gridSpan w:val="2"/>
            <w:shd w:val="clear" w:color="auto" w:fill="auto"/>
            <w:vAlign w:val="bottom"/>
          </w:tcPr>
          <w:p>
            <w:pPr>
              <w:rPr>
                <w:rFonts w:hint="default" w:ascii="Arial" w:hAnsi="Arial" w:cs="Arial"/>
                <w:i w:val="0"/>
                <w:color w:val="000000"/>
                <w:sz w:val="20"/>
                <w:szCs w:val="20"/>
                <w:u w:val="none"/>
              </w:rPr>
            </w:pPr>
          </w:p>
        </w:tc>
        <w:tc>
          <w:tcPr>
            <w:tcW w:w="1571"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314" w:type="dxa"/>
            <w:gridSpan w:val="2"/>
            <w:shd w:val="clear" w:color="auto" w:fill="auto"/>
            <w:vAlign w:val="bottom"/>
          </w:tcPr>
          <w:p>
            <w:pPr>
              <w:rPr>
                <w:rFonts w:hint="default" w:ascii="Arial" w:hAnsi="Arial" w:cs="Arial"/>
                <w:i w:val="0"/>
                <w:color w:val="000000"/>
                <w:sz w:val="20"/>
                <w:szCs w:val="20"/>
                <w:u w:val="none"/>
              </w:rPr>
            </w:pPr>
          </w:p>
        </w:tc>
        <w:tc>
          <w:tcPr>
            <w:tcW w:w="2841" w:type="dxa"/>
            <w:gridSpan w:val="2"/>
            <w:shd w:val="clear" w:color="auto" w:fill="auto"/>
            <w:vAlign w:val="bottom"/>
          </w:tcPr>
          <w:p>
            <w:pPr>
              <w:keepNext w:val="0"/>
              <w:keepLines w:val="0"/>
              <w:widowControl/>
              <w:suppressLineNumbers w:val="0"/>
              <w:ind w:right="-1163" w:rightChars="-554" w:firstLine="1800" w:firstLineChars="90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gridAfter w:val="1"/>
          <w:wBefore w:w="2" w:type="dxa"/>
          <w:wAfter w:w="58" w:type="dxa"/>
          <w:trHeight w:val="354" w:hRule="atLeast"/>
          <w:jc w:val="center"/>
        </w:trPr>
        <w:tc>
          <w:tcPr>
            <w:tcW w:w="2713" w:type="dxa"/>
            <w:gridSpan w:val="2"/>
            <w:shd w:val="clear" w:color="auto" w:fill="auto"/>
            <w:vAlign w:val="bottom"/>
          </w:tcPr>
          <w:p>
            <w:pPr>
              <w:keepNext w:val="0"/>
              <w:keepLines w:val="0"/>
              <w:widowControl/>
              <w:suppressLineNumbers w:val="0"/>
              <w:ind w:right="-857" w:rightChars="-408"/>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2372" w:type="dxa"/>
            <w:gridSpan w:val="2"/>
            <w:shd w:val="clear" w:color="auto" w:fill="auto"/>
            <w:vAlign w:val="bottom"/>
          </w:tcPr>
          <w:p>
            <w:pPr>
              <w:rPr>
                <w:rFonts w:hint="default" w:ascii="Arial" w:hAnsi="Arial" w:cs="Arial"/>
                <w:i w:val="0"/>
                <w:color w:val="000000"/>
                <w:sz w:val="20"/>
                <w:szCs w:val="20"/>
                <w:u w:val="none"/>
              </w:rPr>
            </w:pPr>
          </w:p>
        </w:tc>
        <w:tc>
          <w:tcPr>
            <w:tcW w:w="1681" w:type="dxa"/>
            <w:gridSpan w:val="2"/>
            <w:shd w:val="clear" w:color="auto" w:fill="auto"/>
            <w:vAlign w:val="bottom"/>
          </w:tcPr>
          <w:p>
            <w:pPr>
              <w:rPr>
                <w:rFonts w:hint="default" w:ascii="Arial" w:hAnsi="Arial" w:cs="Arial"/>
                <w:i w:val="0"/>
                <w:color w:val="000000"/>
                <w:sz w:val="20"/>
                <w:szCs w:val="20"/>
                <w:u w:val="none"/>
              </w:rPr>
            </w:pPr>
          </w:p>
        </w:tc>
        <w:tc>
          <w:tcPr>
            <w:tcW w:w="240" w:type="dxa"/>
            <w:gridSpan w:val="2"/>
            <w:shd w:val="clear" w:color="auto" w:fill="auto"/>
            <w:vAlign w:val="bottom"/>
          </w:tcPr>
          <w:p>
            <w:pPr>
              <w:rPr>
                <w:rFonts w:hint="default" w:ascii="Arial" w:hAnsi="Arial" w:cs="Arial"/>
                <w:i w:val="0"/>
                <w:color w:val="000000"/>
                <w:sz w:val="20"/>
                <w:szCs w:val="20"/>
                <w:u w:val="none"/>
              </w:rPr>
            </w:pPr>
          </w:p>
        </w:tc>
        <w:tc>
          <w:tcPr>
            <w:tcW w:w="1571"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314" w:type="dxa"/>
            <w:gridSpan w:val="2"/>
            <w:shd w:val="clear" w:color="auto" w:fill="auto"/>
            <w:vAlign w:val="bottom"/>
          </w:tcPr>
          <w:p>
            <w:pPr>
              <w:rPr>
                <w:rFonts w:hint="default" w:ascii="Arial" w:hAnsi="Arial" w:cs="Arial"/>
                <w:i w:val="0"/>
                <w:color w:val="000000"/>
                <w:sz w:val="20"/>
                <w:szCs w:val="20"/>
                <w:u w:val="none"/>
              </w:rPr>
            </w:pPr>
          </w:p>
        </w:tc>
        <w:tc>
          <w:tcPr>
            <w:tcW w:w="2841" w:type="dxa"/>
            <w:gridSpan w:val="2"/>
            <w:shd w:val="clear" w:color="auto" w:fill="auto"/>
            <w:vAlign w:val="bottom"/>
          </w:tcPr>
          <w:p>
            <w:pPr>
              <w:keepNext w:val="0"/>
              <w:keepLines w:val="0"/>
              <w:widowControl/>
              <w:suppressLineNumbers w:val="0"/>
              <w:tabs>
                <w:tab w:val="left" w:pos="1470"/>
              </w:tabs>
              <w:ind w:left="998" w:leftChars="475" w:right="-1163" w:rightChars="-554" w:firstLine="360" w:firstLineChars="180"/>
              <w:jc w:val="both"/>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681"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960"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880" w:type="dxa"/>
            <w:gridSpan w:val="7"/>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2248" w:type="dxa"/>
            <w:gridSpan w:val="2"/>
            <w:vMerge w:val="restart"/>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0" w:hRule="atLeast"/>
          <w:jc w:val="center"/>
        </w:trPr>
        <w:tc>
          <w:tcPr>
            <w:tcW w:w="2248"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31"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960" w:type="dxa"/>
            <w:gridSpan w:val="3"/>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60"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248"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0" w:hRule="atLeast"/>
          <w:jc w:val="center"/>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48"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0" w:hRule="atLeast"/>
          <w:jc w:val="center"/>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2248" w:type="dxa"/>
            <w:gridSpan w:val="2"/>
            <w:vMerge w:val="continue"/>
            <w:tcBorders>
              <w:top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60"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248"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48"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2" w:type="dxa"/>
          <w:trHeight w:val="301" w:hRule="atLeast"/>
          <w:jc w:val="center"/>
        </w:trPr>
        <w:tc>
          <w:tcPr>
            <w:tcW w:w="13948" w:type="dxa"/>
            <w:gridSpan w:val="18"/>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tbl>
      <w:tblPr>
        <w:tblStyle w:val="13"/>
        <w:tblW w:w="13964" w:type="dxa"/>
        <w:jc w:val="center"/>
        <w:tblLayout w:type="fixed"/>
        <w:tblCellMar>
          <w:top w:w="0" w:type="dxa"/>
          <w:left w:w="108" w:type="dxa"/>
          <w:bottom w:w="0" w:type="dxa"/>
          <w:right w:w="108" w:type="dxa"/>
        </w:tblCellMar>
      </w:tblPr>
      <w:tblGrid>
        <w:gridCol w:w="16"/>
        <w:gridCol w:w="2248"/>
        <w:gridCol w:w="690"/>
        <w:gridCol w:w="959"/>
        <w:gridCol w:w="959"/>
        <w:gridCol w:w="1323"/>
        <w:gridCol w:w="1681"/>
        <w:gridCol w:w="927"/>
        <w:gridCol w:w="33"/>
        <w:gridCol w:w="1648"/>
        <w:gridCol w:w="960"/>
        <w:gridCol w:w="2520"/>
      </w:tblGrid>
      <w:tr>
        <w:tblPrEx>
          <w:tblCellMar>
            <w:top w:w="0" w:type="dxa"/>
            <w:left w:w="108" w:type="dxa"/>
            <w:bottom w:w="0" w:type="dxa"/>
            <w:right w:w="108" w:type="dxa"/>
          </w:tblCellMar>
        </w:tblPrEx>
        <w:trPr>
          <w:trHeight w:val="390" w:hRule="atLeast"/>
          <w:jc w:val="center"/>
        </w:trPr>
        <w:tc>
          <w:tcPr>
            <w:tcW w:w="13964" w:type="dxa"/>
            <w:gridSpan w:val="12"/>
            <w:tcBorders>
              <w:top w:val="nil"/>
              <w:left w:val="nil"/>
              <w:bottom w:val="nil"/>
              <w:right w:val="nil"/>
            </w:tcBorders>
            <w:shd w:val="clear" w:color="auto" w:fill="auto"/>
            <w:vAlign w:val="center"/>
          </w:tcPr>
          <w:p>
            <w:pPr>
              <w:pStyle w:val="4"/>
              <w:ind w:left="-2" w:firstLine="0" w:firstLineChars="0"/>
              <w:jc w:val="center"/>
              <w:rPr>
                <w:kern w:val="0"/>
              </w:rPr>
            </w:pPr>
            <w:bookmarkStart w:id="32" w:name="_Toc141265108"/>
            <w:r>
              <w:rPr>
                <w:rFonts w:hint="eastAsia"/>
                <w:kern w:val="0"/>
              </w:rPr>
              <w:t>国有资本经营预算财政拨款支出决算表</w:t>
            </w:r>
            <w:bookmarkEnd w:id="3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286" w:hRule="atLeast"/>
          <w:jc w:val="center"/>
        </w:trPr>
        <w:tc>
          <w:tcPr>
            <w:tcW w:w="2938" w:type="dxa"/>
            <w:gridSpan w:val="2"/>
            <w:shd w:val="clear" w:color="auto" w:fill="auto"/>
            <w:vAlign w:val="bottom"/>
          </w:tcPr>
          <w:p>
            <w:pPr>
              <w:rPr>
                <w:rFonts w:hint="eastAsia"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3931" w:type="dxa"/>
            <w:gridSpan w:val="3"/>
            <w:shd w:val="clear" w:color="auto" w:fill="auto"/>
            <w:vAlign w:val="bottom"/>
          </w:tcPr>
          <w:p>
            <w:pPr>
              <w:rPr>
                <w:rFonts w:hint="default" w:ascii="Arial" w:hAnsi="Arial" w:cs="Arial"/>
                <w:i w:val="0"/>
                <w:color w:val="000000"/>
                <w:sz w:val="20"/>
                <w:szCs w:val="20"/>
                <w:u w:val="none"/>
              </w:rPr>
            </w:pPr>
          </w:p>
        </w:tc>
        <w:tc>
          <w:tcPr>
            <w:tcW w:w="1681" w:type="dxa"/>
            <w:gridSpan w:val="2"/>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252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286" w:hRule="atLeast"/>
          <w:jc w:val="center"/>
        </w:trPr>
        <w:tc>
          <w:tcPr>
            <w:tcW w:w="2938" w:type="dxa"/>
            <w:gridSpan w:val="2"/>
            <w:shd w:val="clear" w:color="auto" w:fill="auto"/>
            <w:vAlign w:val="bottom"/>
          </w:tcPr>
          <w:p>
            <w:pPr>
              <w:keepNext w:val="0"/>
              <w:keepLines w:val="0"/>
              <w:widowControl/>
              <w:suppressLineNumbers w:val="0"/>
              <w:ind w:right="-1077" w:rightChars="-513"/>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959" w:type="dxa"/>
            <w:shd w:val="clear" w:color="auto" w:fill="auto"/>
            <w:vAlign w:val="bottom"/>
          </w:tcPr>
          <w:p>
            <w:pPr>
              <w:rPr>
                <w:rFonts w:hint="default" w:ascii="Arial" w:hAnsi="Arial" w:cs="Arial"/>
                <w:i w:val="0"/>
                <w:color w:val="000000"/>
                <w:sz w:val="20"/>
                <w:szCs w:val="20"/>
                <w:u w:val="none"/>
              </w:rPr>
            </w:pPr>
          </w:p>
        </w:tc>
        <w:tc>
          <w:tcPr>
            <w:tcW w:w="959" w:type="dxa"/>
            <w:shd w:val="clear" w:color="auto" w:fill="auto"/>
            <w:vAlign w:val="bottom"/>
          </w:tcPr>
          <w:p>
            <w:pPr>
              <w:rPr>
                <w:rFonts w:hint="default" w:ascii="Arial" w:hAnsi="Arial" w:cs="Arial"/>
                <w:i w:val="0"/>
                <w:color w:val="000000"/>
                <w:sz w:val="20"/>
                <w:szCs w:val="20"/>
                <w:u w:val="none"/>
              </w:rPr>
            </w:pPr>
          </w:p>
        </w:tc>
        <w:tc>
          <w:tcPr>
            <w:tcW w:w="3931" w:type="dxa"/>
            <w:gridSpan w:val="3"/>
            <w:shd w:val="clear" w:color="auto" w:fill="auto"/>
            <w:vAlign w:val="bottom"/>
          </w:tcPr>
          <w:p>
            <w:pPr>
              <w:rPr>
                <w:rFonts w:hint="default" w:ascii="Arial" w:hAnsi="Arial" w:cs="Arial"/>
                <w:i w:val="0"/>
                <w:color w:val="000000"/>
                <w:sz w:val="20"/>
                <w:szCs w:val="20"/>
                <w:u w:val="none"/>
              </w:rPr>
            </w:pPr>
          </w:p>
        </w:tc>
        <w:tc>
          <w:tcPr>
            <w:tcW w:w="1681" w:type="dxa"/>
            <w:gridSpan w:val="2"/>
            <w:shd w:val="clear" w:color="auto" w:fill="auto"/>
            <w:vAlign w:val="bottom"/>
          </w:tcPr>
          <w:p>
            <w:pPr>
              <w:rPr>
                <w:rFonts w:hint="default" w:ascii="Arial" w:hAnsi="Arial" w:cs="Arial"/>
                <w:i w:val="0"/>
                <w:color w:val="000000"/>
                <w:sz w:val="20"/>
                <w:szCs w:val="20"/>
                <w:u w:val="none"/>
              </w:rPr>
            </w:pPr>
          </w:p>
        </w:tc>
        <w:tc>
          <w:tcPr>
            <w:tcW w:w="960" w:type="dxa"/>
            <w:shd w:val="clear" w:color="auto" w:fill="auto"/>
            <w:vAlign w:val="bottom"/>
          </w:tcPr>
          <w:p>
            <w:pPr>
              <w:rPr>
                <w:rFonts w:hint="default" w:ascii="Arial" w:hAnsi="Arial" w:cs="Arial"/>
                <w:i w:val="0"/>
                <w:color w:val="000000"/>
                <w:sz w:val="20"/>
                <w:szCs w:val="20"/>
                <w:u w:val="none"/>
              </w:rPr>
            </w:pPr>
          </w:p>
        </w:tc>
        <w:tc>
          <w:tcPr>
            <w:tcW w:w="2520" w:type="dxa"/>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6179" w:type="dxa"/>
            <w:gridSpan w:val="5"/>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7769" w:type="dxa"/>
            <w:gridSpan w:val="6"/>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0" w:hRule="atLeast"/>
          <w:jc w:val="center"/>
        </w:trPr>
        <w:tc>
          <w:tcPr>
            <w:tcW w:w="2248"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931" w:type="dxa"/>
            <w:gridSpan w:val="4"/>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68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60"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128" w:type="dxa"/>
            <w:gridSpan w:val="3"/>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0" w:hRule="atLeast"/>
          <w:jc w:val="center"/>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28"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0" w:hRule="atLeast"/>
          <w:jc w:val="center"/>
        </w:trPr>
        <w:tc>
          <w:tcPr>
            <w:tcW w:w="2248"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3931" w:type="dxa"/>
            <w:gridSpan w:val="4"/>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168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60"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5128"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68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60"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128"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6179" w:type="dxa"/>
            <w:gridSpan w:val="5"/>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2248"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3931" w:type="dxa"/>
            <w:gridSpan w:val="4"/>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81"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960" w:type="dxa"/>
            <w:gridSpan w:val="2"/>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128" w:type="dxa"/>
            <w:gridSpan w:val="3"/>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Before w:val="1"/>
          <w:wBefore w:w="16" w:type="dxa"/>
          <w:trHeight w:val="301" w:hRule="atLeast"/>
          <w:jc w:val="center"/>
        </w:trPr>
        <w:tc>
          <w:tcPr>
            <w:tcW w:w="13948" w:type="dxa"/>
            <w:gridSpan w:val="11"/>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注：本表反映部门本年度国有资本经营预算财政拨款支出情况。</w:t>
            </w:r>
          </w:p>
        </w:tc>
      </w:tr>
    </w:tbl>
    <w:p>
      <w:pPr>
        <w:spacing w:line="560" w:lineRule="exact"/>
        <w:rPr>
          <w:rFonts w:asciiTheme="minorEastAsia" w:hAnsiTheme="minorEastAsia"/>
          <w:sz w:val="22"/>
        </w:rPr>
      </w:pPr>
    </w:p>
    <w:p>
      <w:pPr>
        <w:spacing w:line="560" w:lineRule="exact"/>
        <w:rPr>
          <w:rFonts w:asciiTheme="minorEastAsia" w:hAnsiTheme="minorEastAsia"/>
          <w:sz w:val="22"/>
        </w:rPr>
      </w:pPr>
    </w:p>
    <w:p>
      <w:pPr>
        <w:pStyle w:val="18"/>
        <w:widowControl/>
        <w:spacing w:beforeAutospacing="0" w:afterAutospacing="0" w:line="720" w:lineRule="auto"/>
        <w:rPr>
          <w:rFonts w:cs="宋体" w:asciiTheme="majorEastAsia" w:hAnsiTheme="majorEastAsia" w:eastAsiaTheme="majorEastAsia"/>
          <w:bCs/>
          <w:color w:val="070707"/>
          <w:sz w:val="72"/>
          <w:szCs w:val="72"/>
        </w:rPr>
      </w:pPr>
    </w:p>
    <w:p>
      <w:pPr>
        <w:pStyle w:val="18"/>
        <w:widowControl/>
        <w:spacing w:beforeAutospacing="0" w:afterAutospacing="0" w:line="720" w:lineRule="auto"/>
        <w:rPr>
          <w:rFonts w:hint="eastAsia" w:cs="宋体" w:asciiTheme="majorEastAsia" w:hAnsiTheme="majorEastAsia" w:eastAsiaTheme="majorEastAsia"/>
          <w:bCs/>
          <w:color w:val="070707"/>
          <w:sz w:val="72"/>
          <w:szCs w:val="72"/>
        </w:rPr>
      </w:pPr>
    </w:p>
    <w:p>
      <w:pPr>
        <w:pStyle w:val="4"/>
        <w:ind w:left="-2" w:firstLine="0" w:firstLineChars="0"/>
        <w:jc w:val="center"/>
        <w:rPr>
          <w:rFonts w:hint="eastAsia"/>
          <w:kern w:val="0"/>
        </w:rPr>
      </w:pPr>
      <w:bookmarkStart w:id="33" w:name="_Toc141265109"/>
      <w:r>
        <w:rPr>
          <w:rFonts w:hint="eastAsia"/>
          <w:kern w:val="0"/>
        </w:rPr>
        <w:t>财政拨款“三公”经费支出决算表</w:t>
      </w:r>
      <w:bookmarkEnd w:id="33"/>
    </w:p>
    <w:p>
      <w:pPr>
        <w:spacing w:line="560" w:lineRule="exact"/>
        <w:rPr>
          <w:rFonts w:hint="eastAsia" w:asciiTheme="minorEastAsia" w:hAnsiTheme="minorEastAsia"/>
          <w:sz w:val="22"/>
        </w:rPr>
      </w:pPr>
    </w:p>
    <w:tbl>
      <w:tblPr>
        <w:tblStyle w:val="13"/>
        <w:tblW w:w="139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5"/>
        <w:gridCol w:w="922"/>
        <w:gridCol w:w="61"/>
        <w:gridCol w:w="846"/>
        <w:gridCol w:w="76"/>
        <w:gridCol w:w="815"/>
        <w:gridCol w:w="92"/>
        <w:gridCol w:w="816"/>
        <w:gridCol w:w="75"/>
        <w:gridCol w:w="908"/>
        <w:gridCol w:w="294"/>
        <w:gridCol w:w="891"/>
        <w:gridCol w:w="92"/>
        <w:gridCol w:w="830"/>
        <w:gridCol w:w="61"/>
        <w:gridCol w:w="830"/>
        <w:gridCol w:w="92"/>
        <w:gridCol w:w="799"/>
        <w:gridCol w:w="92"/>
        <w:gridCol w:w="240"/>
        <w:gridCol w:w="560"/>
        <w:gridCol w:w="593"/>
        <w:gridCol w:w="2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2278" w:type="dxa"/>
            <w:gridSpan w:val="3"/>
            <w:shd w:val="clear" w:color="auto" w:fill="auto"/>
            <w:vAlign w:val="bottom"/>
          </w:tcPr>
          <w:p>
            <w:pPr>
              <w:rPr>
                <w:rFonts w:hint="eastAsia" w:ascii="Arial" w:hAnsi="Arial" w:cs="Arial"/>
                <w:i w:val="0"/>
                <w:color w:val="000000"/>
                <w:sz w:val="20"/>
                <w:szCs w:val="20"/>
                <w:u w:val="none"/>
              </w:rPr>
            </w:pPr>
          </w:p>
        </w:tc>
        <w:tc>
          <w:tcPr>
            <w:tcW w:w="922" w:type="dxa"/>
            <w:gridSpan w:val="2"/>
            <w:shd w:val="clear" w:color="auto" w:fill="auto"/>
            <w:vAlign w:val="bottom"/>
          </w:tcPr>
          <w:p>
            <w:pPr>
              <w:rPr>
                <w:rFonts w:hint="default" w:ascii="Arial" w:hAnsi="Arial" w:cs="Arial"/>
                <w:i w:val="0"/>
                <w:color w:val="000000"/>
                <w:sz w:val="20"/>
                <w:szCs w:val="20"/>
                <w:u w:val="none"/>
              </w:rPr>
            </w:pPr>
          </w:p>
        </w:tc>
        <w:tc>
          <w:tcPr>
            <w:tcW w:w="907" w:type="dxa"/>
            <w:gridSpan w:val="2"/>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1277" w:type="dxa"/>
            <w:gridSpan w:val="3"/>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922" w:type="dxa"/>
            <w:gridSpan w:val="2"/>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1153" w:type="dxa"/>
            <w:gridSpan w:val="2"/>
            <w:shd w:val="clear" w:color="auto" w:fill="auto"/>
            <w:vAlign w:val="bottom"/>
          </w:tcPr>
          <w:p>
            <w:pPr>
              <w:rPr>
                <w:rFonts w:hint="default" w:ascii="Arial" w:hAnsi="Arial" w:cs="Arial"/>
                <w:i w:val="0"/>
                <w:color w:val="000000"/>
                <w:sz w:val="20"/>
                <w:szCs w:val="20"/>
                <w:u w:val="none"/>
              </w:rPr>
            </w:pPr>
          </w:p>
        </w:tc>
        <w:tc>
          <w:tcPr>
            <w:tcW w:w="2698" w:type="dxa"/>
            <w:shd w:val="clear" w:color="auto" w:fill="auto"/>
            <w:vAlign w:val="bottom"/>
          </w:tcPr>
          <w:p>
            <w:pPr>
              <w:keepNext w:val="0"/>
              <w:keepLines w:val="0"/>
              <w:widowControl/>
              <w:suppressLineNumbers w:val="0"/>
              <w:ind w:right="479" w:rightChars="228"/>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78" w:type="dxa"/>
            <w:gridSpan w:val="3"/>
            <w:shd w:val="clear" w:color="auto" w:fill="auto"/>
            <w:vAlign w:val="bottom"/>
          </w:tcPr>
          <w:p>
            <w:pPr>
              <w:keepNext w:val="0"/>
              <w:keepLines w:val="0"/>
              <w:widowControl/>
              <w:suppressLineNumbers w:val="0"/>
              <w:ind w:right="-1390" w:rightChars="-662"/>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部门：陕西省通信管理局</w:t>
            </w:r>
          </w:p>
        </w:tc>
        <w:tc>
          <w:tcPr>
            <w:tcW w:w="922" w:type="dxa"/>
            <w:gridSpan w:val="2"/>
            <w:shd w:val="clear" w:color="auto" w:fill="auto"/>
            <w:vAlign w:val="bottom"/>
          </w:tcPr>
          <w:p>
            <w:pPr>
              <w:rPr>
                <w:rFonts w:hint="default" w:ascii="Arial" w:hAnsi="Arial" w:cs="Arial"/>
                <w:i w:val="0"/>
                <w:color w:val="000000"/>
                <w:sz w:val="20"/>
                <w:szCs w:val="20"/>
                <w:u w:val="none"/>
              </w:rPr>
            </w:pPr>
          </w:p>
        </w:tc>
        <w:tc>
          <w:tcPr>
            <w:tcW w:w="907" w:type="dxa"/>
            <w:gridSpan w:val="2"/>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908" w:type="dxa"/>
            <w:shd w:val="clear" w:color="auto" w:fill="auto"/>
            <w:vAlign w:val="bottom"/>
          </w:tcPr>
          <w:p>
            <w:pPr>
              <w:rPr>
                <w:rFonts w:hint="default" w:ascii="Arial" w:hAnsi="Arial" w:cs="Arial"/>
                <w:i w:val="0"/>
                <w:color w:val="000000"/>
                <w:sz w:val="20"/>
                <w:szCs w:val="20"/>
                <w:u w:val="none"/>
              </w:rPr>
            </w:pPr>
          </w:p>
        </w:tc>
        <w:tc>
          <w:tcPr>
            <w:tcW w:w="1277" w:type="dxa"/>
            <w:gridSpan w:val="3"/>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922" w:type="dxa"/>
            <w:gridSpan w:val="2"/>
            <w:shd w:val="clear" w:color="auto" w:fill="auto"/>
            <w:vAlign w:val="bottom"/>
          </w:tcPr>
          <w:p>
            <w:pPr>
              <w:rPr>
                <w:rFonts w:hint="default" w:ascii="Arial" w:hAnsi="Arial" w:cs="Arial"/>
                <w:i w:val="0"/>
                <w:color w:val="000000"/>
                <w:sz w:val="20"/>
                <w:szCs w:val="20"/>
                <w:u w:val="none"/>
              </w:rPr>
            </w:pPr>
          </w:p>
        </w:tc>
        <w:tc>
          <w:tcPr>
            <w:tcW w:w="891" w:type="dxa"/>
            <w:gridSpan w:val="2"/>
            <w:shd w:val="clear" w:color="auto" w:fill="auto"/>
            <w:vAlign w:val="bottom"/>
          </w:tcPr>
          <w:p>
            <w:pPr>
              <w:rPr>
                <w:rFonts w:hint="default" w:ascii="Arial" w:hAnsi="Arial" w:cs="Arial"/>
                <w:i w:val="0"/>
                <w:color w:val="000000"/>
                <w:sz w:val="20"/>
                <w:szCs w:val="20"/>
                <w:u w:val="none"/>
              </w:rPr>
            </w:pPr>
          </w:p>
        </w:tc>
        <w:tc>
          <w:tcPr>
            <w:tcW w:w="240" w:type="dxa"/>
            <w:shd w:val="clear" w:color="auto" w:fill="auto"/>
            <w:vAlign w:val="bottom"/>
          </w:tcPr>
          <w:p>
            <w:pPr>
              <w:rPr>
                <w:rFonts w:hint="default" w:ascii="Arial" w:hAnsi="Arial" w:cs="Arial"/>
                <w:i w:val="0"/>
                <w:color w:val="000000"/>
                <w:sz w:val="20"/>
                <w:szCs w:val="20"/>
                <w:u w:val="none"/>
              </w:rPr>
            </w:pPr>
          </w:p>
        </w:tc>
        <w:tc>
          <w:tcPr>
            <w:tcW w:w="1153" w:type="dxa"/>
            <w:gridSpan w:val="2"/>
            <w:shd w:val="clear" w:color="auto" w:fill="auto"/>
            <w:vAlign w:val="bottom"/>
          </w:tcPr>
          <w:p>
            <w:pPr>
              <w:rPr>
                <w:rFonts w:hint="default" w:ascii="Arial" w:hAnsi="Arial" w:cs="Arial"/>
                <w:i w:val="0"/>
                <w:color w:val="000000"/>
                <w:sz w:val="20"/>
                <w:szCs w:val="20"/>
                <w:u w:val="none"/>
              </w:rPr>
            </w:pPr>
          </w:p>
        </w:tc>
        <w:tc>
          <w:tcPr>
            <w:tcW w:w="2698" w:type="dxa"/>
            <w:shd w:val="clear" w:color="auto" w:fill="auto"/>
            <w:vAlign w:val="bottom"/>
          </w:tcPr>
          <w:p>
            <w:pPr>
              <w:keepNext w:val="0"/>
              <w:keepLines w:val="0"/>
              <w:widowControl/>
              <w:suppressLineNumbers w:val="0"/>
              <w:tabs>
                <w:tab w:val="left" w:pos="2740"/>
              </w:tabs>
              <w:ind w:right="479" w:rightChars="228"/>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00" w:type="dxa"/>
            <w:gridSpan w:val="11"/>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778" w:type="dxa"/>
            <w:gridSpan w:val="12"/>
            <w:tcBorders>
              <w:top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95" w:type="dxa"/>
            <w:vMerge w:val="restart"/>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2"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706" w:type="dxa"/>
            <w:gridSpan w:val="6"/>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7" w:type="dxa"/>
            <w:gridSpan w:val="3"/>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891" w:type="dxa"/>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22"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674" w:type="dxa"/>
            <w:gridSpan w:val="7"/>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3291" w:type="dxa"/>
            <w:gridSpan w:val="2"/>
            <w:vMerge w:val="restart"/>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295" w:type="dxa"/>
            <w:vMerge w:val="continue"/>
            <w:tcBorders>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2"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07"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908"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277" w:type="dxa"/>
            <w:gridSpan w:val="3"/>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91" w:type="dxa"/>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922"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892"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3291" w:type="dxa"/>
            <w:gridSpan w:val="2"/>
            <w:vMerge w:val="continue"/>
            <w:tcBorders>
              <w:bottom w:val="single" w:color="000000" w:sz="4" w:space="0"/>
              <w:right w:val="single" w:color="000000" w:sz="4" w:space="0"/>
            </w:tcBorders>
            <w:shd w:val="clear" w:color="FFFFFF"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95" w:type="dxa"/>
            <w:tcBorders>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2"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07"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08"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77"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91" w:type="dxa"/>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922"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92" w:type="dxa"/>
            <w:gridSpan w:val="3"/>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291" w:type="dxa"/>
            <w:gridSpan w:val="2"/>
            <w:tcBorders>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29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w:t>
            </w:r>
          </w:p>
        </w:tc>
        <w:tc>
          <w:tcPr>
            <w:tcW w:w="922"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07"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8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0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21.00</w:t>
            </w:r>
          </w:p>
        </w:tc>
        <w:tc>
          <w:tcPr>
            <w:tcW w:w="1277"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891"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w:t>
            </w:r>
          </w:p>
        </w:tc>
        <w:tc>
          <w:tcPr>
            <w:tcW w:w="92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8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92"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3291"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15" w:hRule="atLeast"/>
        </w:trPr>
        <w:tc>
          <w:tcPr>
            <w:tcW w:w="13978" w:type="dxa"/>
            <w:gridSpan w:val="23"/>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8"/>
        <w:widowControl/>
        <w:spacing w:beforeAutospacing="0" w:afterAutospacing="0" w:line="720" w:lineRule="auto"/>
        <w:rPr>
          <w:rFonts w:cs="宋体" w:asciiTheme="majorEastAsia" w:hAnsiTheme="majorEastAsia" w:eastAsiaTheme="majorEastAsia"/>
          <w:bCs/>
          <w:color w:val="070707"/>
          <w:sz w:val="72"/>
          <w:szCs w:val="72"/>
        </w:rPr>
      </w:pPr>
    </w:p>
    <w:p>
      <w:pPr>
        <w:pStyle w:val="18"/>
        <w:widowControl/>
        <w:spacing w:beforeAutospacing="0" w:afterAutospacing="0" w:line="720" w:lineRule="auto"/>
        <w:jc w:val="center"/>
        <w:rPr>
          <w:rFonts w:hint="eastAsia" w:cs="宋体" w:asciiTheme="majorEastAsia" w:hAnsiTheme="majorEastAsia" w:eastAsiaTheme="majorEastAsia"/>
          <w:bCs/>
          <w:color w:val="070707"/>
          <w:sz w:val="72"/>
          <w:szCs w:val="72"/>
        </w:rPr>
      </w:pPr>
    </w:p>
    <w:p>
      <w:pPr>
        <w:pStyle w:val="18"/>
        <w:widowControl/>
        <w:spacing w:beforeAutospacing="0" w:afterAutospacing="0" w:line="720" w:lineRule="auto"/>
        <w:jc w:val="center"/>
        <w:rPr>
          <w:rFonts w:hint="eastAsia" w:cs="宋体" w:asciiTheme="majorEastAsia" w:hAnsiTheme="majorEastAsia" w:eastAsiaTheme="majorEastAsia"/>
          <w:bCs/>
          <w:color w:val="070707"/>
          <w:sz w:val="72"/>
          <w:szCs w:val="72"/>
        </w:rPr>
      </w:pPr>
    </w:p>
    <w:p>
      <w:pPr>
        <w:pStyle w:val="18"/>
        <w:widowControl/>
        <w:spacing w:beforeAutospacing="0" w:afterAutospacing="0" w:line="720" w:lineRule="auto"/>
        <w:jc w:val="both"/>
        <w:rPr>
          <w:rFonts w:cs="宋体" w:asciiTheme="majorEastAsia" w:hAnsiTheme="majorEastAsia" w:eastAsiaTheme="majorEastAsia"/>
          <w:bCs/>
          <w:color w:val="070707"/>
          <w:sz w:val="72"/>
          <w:szCs w:val="72"/>
        </w:rPr>
      </w:pPr>
    </w:p>
    <w:p>
      <w:pPr>
        <w:pStyle w:val="3"/>
        <w:jc w:val="center"/>
        <w:rPr>
          <w:rFonts w:ascii="黑体" w:eastAsia="黑体"/>
          <w:b w:val="0"/>
          <w:sz w:val="72"/>
          <w:szCs w:val="84"/>
        </w:rPr>
      </w:pPr>
      <w:bookmarkStart w:id="34" w:name="_Toc141265110"/>
      <w:r>
        <w:rPr>
          <w:rFonts w:hint="eastAsia" w:ascii="黑体" w:eastAsia="黑体"/>
          <w:b w:val="0"/>
          <w:sz w:val="72"/>
          <w:szCs w:val="84"/>
        </w:rPr>
        <w:t>第三部分</w:t>
      </w:r>
      <w:bookmarkEnd w:id="34"/>
    </w:p>
    <w:p>
      <w:pPr>
        <w:pStyle w:val="3"/>
        <w:jc w:val="center"/>
        <w:rPr>
          <w:rFonts w:ascii="黑体" w:eastAsia="黑体"/>
          <w:b w:val="0"/>
          <w:sz w:val="72"/>
          <w:szCs w:val="84"/>
        </w:rPr>
      </w:pPr>
      <w:bookmarkStart w:id="35" w:name="_Toc141265111"/>
      <w:r>
        <w:rPr>
          <w:rFonts w:hint="eastAsia" w:ascii="黑体" w:eastAsia="黑体"/>
          <w:b w:val="0"/>
          <w:sz w:val="72"/>
          <w:szCs w:val="84"/>
        </w:rPr>
        <w:t>2022年度部门决算情况说明</w:t>
      </w:r>
      <w:bookmarkEnd w:id="35"/>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spacing w:line="560" w:lineRule="exact"/>
        <w:rPr>
          <w:rFonts w:asciiTheme="minorEastAsia" w:hAnsiTheme="minorEastAsia"/>
          <w:sz w:val="22"/>
        </w:rPr>
      </w:pPr>
    </w:p>
    <w:p>
      <w:pPr>
        <w:pStyle w:val="4"/>
        <w:spacing w:line="560" w:lineRule="exact"/>
      </w:pPr>
      <w:bookmarkStart w:id="36" w:name="_Toc141265112"/>
      <w:r>
        <w:rPr>
          <w:rFonts w:hint="eastAsia"/>
        </w:rPr>
        <w:t>一、收入支出决算总体情况说明</w:t>
      </w:r>
      <w:bookmarkEnd w:id="36"/>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2022年度收、支总计均为</w:t>
      </w:r>
      <w:r>
        <w:rPr>
          <w:rFonts w:hint="eastAsia" w:ascii="仿宋_GB2312" w:eastAsia="仿宋_GB2312" w:hAnsiTheme="minorEastAsia"/>
          <w:sz w:val="32"/>
          <w:szCs w:val="32"/>
          <w:lang w:val="en-US" w:eastAsia="zh-CN"/>
        </w:rPr>
        <w:t>3475.61</w:t>
      </w:r>
      <w:r>
        <w:rPr>
          <w:rFonts w:hint="eastAsia" w:ascii="仿宋_GB2312" w:eastAsia="仿宋_GB2312" w:hAnsiTheme="minorEastAsia"/>
          <w:sz w:val="32"/>
          <w:szCs w:val="32"/>
        </w:rPr>
        <w:t>万元，与2021年相比，收、支总计各</w:t>
      </w:r>
      <w:r>
        <w:rPr>
          <w:rFonts w:hint="eastAsia" w:ascii="仿宋_GB2312" w:eastAsia="仿宋_GB2312" w:hAnsiTheme="minorEastAsia"/>
          <w:sz w:val="32"/>
          <w:szCs w:val="32"/>
          <w:lang w:eastAsia="zh-CN"/>
        </w:rPr>
        <w:t>增加</w:t>
      </w:r>
      <w:r>
        <w:rPr>
          <w:rFonts w:hint="eastAsia" w:ascii="仿宋_GB2312" w:eastAsia="仿宋_GB2312" w:hAnsiTheme="minorEastAsia"/>
          <w:sz w:val="32"/>
          <w:szCs w:val="32"/>
          <w:lang w:val="en-US" w:eastAsia="zh-CN"/>
        </w:rPr>
        <w:t>723.57</w:t>
      </w:r>
      <w:r>
        <w:rPr>
          <w:rFonts w:hint="eastAsia" w:ascii="仿宋_GB2312" w:eastAsia="仿宋_GB2312" w:hAnsiTheme="minorEastAsia"/>
          <w:sz w:val="32"/>
          <w:szCs w:val="32"/>
        </w:rPr>
        <w:t>万元，</w:t>
      </w:r>
      <w:r>
        <w:rPr>
          <w:rFonts w:hint="eastAsia" w:ascii="仿宋_GB2312" w:eastAsia="仿宋_GB2312" w:hAnsiTheme="minorEastAsia"/>
          <w:sz w:val="32"/>
          <w:szCs w:val="32"/>
          <w:lang w:eastAsia="zh-CN"/>
        </w:rPr>
        <w:t>增幅</w:t>
      </w:r>
      <w:r>
        <w:rPr>
          <w:rFonts w:hint="eastAsia" w:ascii="仿宋_GB2312" w:eastAsia="仿宋_GB2312" w:hAnsiTheme="minorEastAsia"/>
          <w:sz w:val="32"/>
          <w:szCs w:val="32"/>
          <w:lang w:val="en-US" w:eastAsia="zh-CN"/>
        </w:rPr>
        <w:t>26.29</w:t>
      </w:r>
      <w:r>
        <w:rPr>
          <w:rFonts w:hint="eastAsia" w:ascii="仿宋_GB2312" w:eastAsia="仿宋_GB2312" w:hAnsiTheme="minorEastAsia"/>
          <w:sz w:val="32"/>
          <w:szCs w:val="32"/>
        </w:rPr>
        <w:t>%。主要是一般公共预算财政拨款收入、其他收入均较上年有一定程度的</w:t>
      </w:r>
      <w:r>
        <w:rPr>
          <w:rFonts w:hint="eastAsia" w:ascii="仿宋_GB2312" w:eastAsia="仿宋_GB2312" w:hAnsiTheme="minorEastAsia"/>
          <w:sz w:val="32"/>
          <w:szCs w:val="32"/>
          <w:lang w:eastAsia="zh-CN"/>
        </w:rPr>
        <w:t>增长</w:t>
      </w:r>
      <w:r>
        <w:rPr>
          <w:rFonts w:hint="eastAsia" w:ascii="仿宋_GB2312" w:eastAsia="仿宋_GB2312" w:hAnsiTheme="minorEastAsia"/>
          <w:sz w:val="32"/>
          <w:szCs w:val="32"/>
        </w:rPr>
        <w:t>，相应支出</w:t>
      </w:r>
      <w:r>
        <w:rPr>
          <w:rFonts w:hint="eastAsia" w:ascii="仿宋_GB2312" w:eastAsia="仿宋_GB2312" w:hAnsiTheme="minorEastAsia"/>
          <w:sz w:val="32"/>
          <w:szCs w:val="32"/>
          <w:lang w:eastAsia="zh-CN"/>
        </w:rPr>
        <w:t>增加</w:t>
      </w:r>
      <w:r>
        <w:rPr>
          <w:rFonts w:hint="eastAsia" w:ascii="仿宋_GB2312" w:eastAsia="仿宋_GB2312" w:hAnsiTheme="minorEastAsia"/>
          <w:sz w:val="32"/>
          <w:szCs w:val="32"/>
        </w:rPr>
        <w:t>。</w:t>
      </w:r>
    </w:p>
    <w:p>
      <w:pPr>
        <w:spacing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图1：收、支决算总计变动情况</w:t>
      </w:r>
    </w:p>
    <w:p>
      <w:pPr>
        <w:spacing w:line="560" w:lineRule="exact"/>
        <w:jc w:val="center"/>
        <w:rPr>
          <w:rFonts w:ascii="仿宋_GB2312" w:eastAsia="仿宋_GB2312" w:hAnsiTheme="minorEastAsia"/>
          <w:sz w:val="32"/>
          <w:szCs w:val="32"/>
        </w:rPr>
      </w:pPr>
      <w:r>
        <w:rPr>
          <w:rFonts w:hint="eastAsia" w:ascii="仿宋_GB2312" w:eastAsia="仿宋_GB2312" w:hAnsiTheme="minorEastAsia"/>
          <w:b/>
          <w:sz w:val="28"/>
          <w:szCs w:val="32"/>
        </w:rPr>
        <w:t>（单位：万元）</w:t>
      </w:r>
    </w:p>
    <w:p>
      <w:pPr>
        <w:spacing w:line="560" w:lineRule="exact"/>
        <w:jc w:val="center"/>
        <w:rPr>
          <w:rFonts w:ascii="仿宋_GB2312" w:eastAsia="仿宋_GB2312" w:hAnsiTheme="minorEastAsia"/>
          <w:sz w:val="32"/>
          <w:szCs w:val="32"/>
        </w:rPr>
      </w:pPr>
      <w:r>
        <w:rPr>
          <w:rFonts w:hint="eastAsia" w:ascii="仿宋_GB2312" w:eastAsia="仿宋_GB2312" w:hAnsiTheme="minorEastAsia"/>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254000</wp:posOffset>
            </wp:positionV>
            <wp:extent cx="5277485" cy="3072765"/>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rPr>
          <w:rFonts w:ascii="黑体" w:eastAsia="黑体" w:hAnsiTheme="minorEastAsia"/>
          <w:sz w:val="32"/>
          <w:szCs w:val="32"/>
        </w:rPr>
      </w:pPr>
    </w:p>
    <w:p>
      <w:pPr>
        <w:spacing w:line="560" w:lineRule="exact"/>
        <w:rPr>
          <w:rFonts w:ascii="黑体" w:eastAsia="黑体" w:hAnsiTheme="minorEastAsia"/>
          <w:sz w:val="32"/>
          <w:szCs w:val="32"/>
        </w:rPr>
      </w:pPr>
    </w:p>
    <w:p>
      <w:pPr>
        <w:pStyle w:val="4"/>
        <w:spacing w:line="560" w:lineRule="exact"/>
      </w:pPr>
      <w:bookmarkStart w:id="37" w:name="_Toc141265113"/>
      <w:r>
        <w:rPr>
          <w:rFonts w:hint="eastAsia"/>
        </w:rPr>
        <w:t>二、收入决算情况说明</w:t>
      </w:r>
      <w:bookmarkEnd w:id="37"/>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2022年度收入合计</w:t>
      </w:r>
      <w:r>
        <w:rPr>
          <w:rFonts w:hint="eastAsia" w:ascii="仿宋_GB2312" w:eastAsia="仿宋_GB2312" w:hAnsiTheme="minorEastAsia"/>
          <w:sz w:val="32"/>
          <w:szCs w:val="32"/>
          <w:lang w:val="en-US" w:eastAsia="zh-CN"/>
        </w:rPr>
        <w:t>2489.68</w:t>
      </w:r>
      <w:r>
        <w:rPr>
          <w:rFonts w:hint="eastAsia" w:ascii="仿宋_GB2312" w:eastAsia="仿宋_GB2312" w:hAnsiTheme="minorEastAsia"/>
          <w:sz w:val="32"/>
          <w:szCs w:val="32"/>
        </w:rPr>
        <w:t>万元，其中：财政拨款收入</w:t>
      </w:r>
      <w:r>
        <w:rPr>
          <w:rFonts w:hint="eastAsia" w:ascii="仿宋_GB2312" w:eastAsia="仿宋_GB2312" w:hAnsiTheme="minorEastAsia"/>
          <w:sz w:val="32"/>
          <w:szCs w:val="32"/>
          <w:lang w:val="en-US" w:eastAsia="zh-CN"/>
        </w:rPr>
        <w:t>1540.46</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61.87</w:t>
      </w:r>
      <w:r>
        <w:rPr>
          <w:rFonts w:hint="eastAsia" w:ascii="仿宋_GB2312" w:eastAsia="仿宋_GB2312" w:hAnsiTheme="minorEastAsia"/>
          <w:sz w:val="32"/>
          <w:szCs w:val="32"/>
        </w:rPr>
        <w:t>%；其他收入</w:t>
      </w:r>
      <w:r>
        <w:rPr>
          <w:rFonts w:hint="eastAsia" w:ascii="仿宋_GB2312" w:eastAsia="仿宋_GB2312" w:hAnsiTheme="minorEastAsia"/>
          <w:sz w:val="32"/>
          <w:szCs w:val="32"/>
          <w:lang w:val="en-US" w:eastAsia="zh-CN"/>
        </w:rPr>
        <w:t>949.22</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38.13</w:t>
      </w:r>
      <w:r>
        <w:rPr>
          <w:rFonts w:hint="eastAsia" w:ascii="仿宋_GB2312" w:eastAsia="仿宋_GB2312" w:hAnsiTheme="minorEastAsia"/>
          <w:sz w:val="32"/>
          <w:szCs w:val="32"/>
        </w:rPr>
        <w:t>%。</w:t>
      </w:r>
    </w:p>
    <w:p>
      <w:pPr>
        <w:spacing w:line="560" w:lineRule="exact"/>
        <w:rPr>
          <w:rFonts w:ascii="仿宋_GB2312" w:eastAsia="仿宋_GB2312" w:hAnsiTheme="minorEastAsia"/>
          <w:sz w:val="32"/>
          <w:szCs w:val="32"/>
        </w:rPr>
      </w:pPr>
    </w:p>
    <w:p>
      <w:pPr>
        <w:spacing w:line="560" w:lineRule="exact"/>
        <w:ind w:firstLine="5783" w:firstLineChars="1800"/>
        <w:jc w:val="both"/>
        <w:rPr>
          <w:rFonts w:ascii="仿宋_GB2312" w:eastAsia="仿宋_GB2312" w:hAnsiTheme="minorEastAsia"/>
          <w:b/>
          <w:sz w:val="32"/>
          <w:szCs w:val="32"/>
        </w:rPr>
      </w:pPr>
      <w:r>
        <w:rPr>
          <w:rFonts w:hint="eastAsia" w:ascii="仿宋_GB2312" w:eastAsia="仿宋_GB2312" w:hAnsiTheme="minorEastAsia"/>
          <w:b/>
          <w:sz w:val="32"/>
          <w:szCs w:val="32"/>
        </w:rPr>
        <w:t>图2：收入决算</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drawing>
          <wp:anchor distT="0" distB="0" distL="114300" distR="114300" simplePos="0" relativeHeight="251660288" behindDoc="0" locked="0" layoutInCell="1" allowOverlap="1">
            <wp:simplePos x="0" y="0"/>
            <wp:positionH relativeFrom="margin">
              <wp:align>center</wp:align>
            </wp:positionH>
            <wp:positionV relativeFrom="paragraph">
              <wp:posOffset>-2790190</wp:posOffset>
            </wp:positionV>
            <wp:extent cx="5275580" cy="3072765"/>
            <wp:effectExtent l="19050" t="0" r="20261"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4"/>
        <w:spacing w:line="560" w:lineRule="exact"/>
      </w:pPr>
      <w:bookmarkStart w:id="38" w:name="_Toc141265114"/>
      <w:r>
        <w:rPr>
          <w:rFonts w:hint="eastAsia"/>
        </w:rPr>
        <w:t>三、支出决算情况说明</w:t>
      </w:r>
      <w:bookmarkEnd w:id="38"/>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2022年度支出合计</w:t>
      </w:r>
      <w:r>
        <w:rPr>
          <w:rFonts w:hint="eastAsia" w:ascii="仿宋_GB2312" w:eastAsia="仿宋_GB2312" w:hAnsiTheme="minorEastAsia"/>
          <w:sz w:val="32"/>
          <w:szCs w:val="32"/>
          <w:lang w:val="en-US" w:eastAsia="zh-CN"/>
        </w:rPr>
        <w:t>2307.93</w:t>
      </w:r>
      <w:r>
        <w:rPr>
          <w:rFonts w:hint="eastAsia" w:ascii="仿宋_GB2312" w:eastAsia="仿宋_GB2312" w:hAnsiTheme="minorEastAsia"/>
          <w:sz w:val="32"/>
          <w:szCs w:val="32"/>
        </w:rPr>
        <w:t>万元，其中：基本支出</w:t>
      </w:r>
      <w:r>
        <w:rPr>
          <w:rFonts w:hint="eastAsia" w:ascii="仿宋_GB2312" w:eastAsia="仿宋_GB2312" w:hAnsiTheme="minorEastAsia"/>
          <w:sz w:val="32"/>
          <w:szCs w:val="32"/>
          <w:lang w:val="en-US" w:eastAsia="zh-CN"/>
        </w:rPr>
        <w:t>630.91</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27.34</w:t>
      </w:r>
      <w:r>
        <w:rPr>
          <w:rFonts w:hint="eastAsia" w:ascii="仿宋_GB2312" w:eastAsia="仿宋_GB2312" w:hAnsiTheme="minorEastAsia"/>
          <w:sz w:val="32"/>
          <w:szCs w:val="32"/>
        </w:rPr>
        <w:t>%；项目支出</w:t>
      </w:r>
      <w:r>
        <w:rPr>
          <w:rFonts w:hint="eastAsia" w:ascii="仿宋_GB2312" w:eastAsia="仿宋_GB2312" w:hAnsiTheme="minorEastAsia"/>
          <w:sz w:val="32"/>
          <w:szCs w:val="32"/>
          <w:lang w:val="en-US" w:eastAsia="zh-CN"/>
        </w:rPr>
        <w:t>1677.02</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72.66</w:t>
      </w:r>
      <w:r>
        <w:rPr>
          <w:rFonts w:hint="eastAsia" w:ascii="仿宋_GB2312" w:eastAsia="仿宋_GB2312" w:hAnsiTheme="minorEastAsia"/>
          <w:sz w:val="32"/>
          <w:szCs w:val="32"/>
        </w:rPr>
        <w:t>%；</w:t>
      </w:r>
    </w:p>
    <w:p>
      <w:pPr>
        <w:spacing w:line="560" w:lineRule="exact"/>
        <w:jc w:val="both"/>
        <w:rPr>
          <w:rFonts w:hint="eastAsia" w:ascii="仿宋_GB2312" w:eastAsia="仿宋_GB2312" w:hAnsiTheme="minorEastAsia"/>
          <w:b/>
          <w:sz w:val="32"/>
          <w:szCs w:val="32"/>
        </w:rPr>
      </w:pPr>
    </w:p>
    <w:p>
      <w:pPr>
        <w:spacing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图3：支出决算</w:t>
      </w:r>
    </w:p>
    <w:p>
      <w:pPr>
        <w:spacing w:line="560" w:lineRule="exact"/>
        <w:rPr>
          <w:rFonts w:ascii="仿宋_GB2312" w:eastAsia="仿宋_GB2312" w:hAnsiTheme="minorEastAsia"/>
          <w:sz w:val="32"/>
          <w:szCs w:val="32"/>
        </w:rPr>
      </w:pPr>
      <w:r>
        <w:rPr>
          <w:rFonts w:ascii="仿宋_GB2312" w:eastAsia="仿宋_GB2312" w:hAnsiTheme="minorEastAsia"/>
          <w:sz w:val="32"/>
          <w:szCs w:val="32"/>
        </w:rPr>
        <w:drawing>
          <wp:anchor distT="0" distB="0" distL="114300" distR="114300" simplePos="0" relativeHeight="251661312" behindDoc="0" locked="0" layoutInCell="1" allowOverlap="1">
            <wp:simplePos x="0" y="0"/>
            <wp:positionH relativeFrom="margin">
              <wp:posOffset>2021840</wp:posOffset>
            </wp:positionH>
            <wp:positionV relativeFrom="paragraph">
              <wp:posOffset>302260</wp:posOffset>
            </wp:positionV>
            <wp:extent cx="4414520" cy="2194560"/>
            <wp:effectExtent l="4445" t="4445" r="15875" b="1079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560" w:lineRule="exact"/>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pStyle w:val="4"/>
        <w:spacing w:line="560" w:lineRule="exact"/>
      </w:pPr>
      <w:bookmarkStart w:id="39" w:name="_Toc141265115"/>
      <w:r>
        <w:rPr>
          <w:rFonts w:hint="eastAsia"/>
        </w:rPr>
        <w:t>四、财政拨款收入支出决算总体情况说明</w:t>
      </w:r>
      <w:bookmarkEnd w:id="39"/>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2022年度财政拨款收、支总计均为</w:t>
      </w:r>
      <w:r>
        <w:rPr>
          <w:rFonts w:hint="eastAsia" w:ascii="仿宋_GB2312" w:eastAsia="仿宋_GB2312" w:hAnsiTheme="minorEastAsia"/>
          <w:sz w:val="32"/>
          <w:szCs w:val="32"/>
          <w:lang w:val="en-US" w:eastAsia="zh-CN"/>
        </w:rPr>
        <w:t>1720.24</w:t>
      </w:r>
      <w:r>
        <w:rPr>
          <w:rFonts w:hint="eastAsia" w:ascii="仿宋_GB2312" w:eastAsia="仿宋_GB2312" w:hAnsiTheme="minorEastAsia"/>
          <w:sz w:val="32"/>
          <w:szCs w:val="32"/>
        </w:rPr>
        <w:t>万元。与2021年相比，财政拨款收、支总计各减少</w:t>
      </w:r>
      <w:r>
        <w:rPr>
          <w:rFonts w:hint="eastAsia" w:ascii="仿宋_GB2312" w:eastAsia="仿宋_GB2312" w:hAnsiTheme="minorEastAsia"/>
          <w:sz w:val="32"/>
          <w:szCs w:val="32"/>
          <w:lang w:val="en-US" w:eastAsia="zh-CN"/>
        </w:rPr>
        <w:t>88.98</w:t>
      </w:r>
      <w:r>
        <w:rPr>
          <w:rFonts w:hint="eastAsia" w:ascii="仿宋_GB2312" w:eastAsia="仿宋_GB2312" w:hAnsiTheme="minorEastAsia"/>
          <w:sz w:val="32"/>
          <w:szCs w:val="32"/>
        </w:rPr>
        <w:t>万元，</w:t>
      </w:r>
      <w:r>
        <w:rPr>
          <w:rFonts w:hint="eastAsia" w:ascii="仿宋_GB2312" w:eastAsia="仿宋_GB2312" w:hAnsiTheme="minorEastAsia"/>
          <w:sz w:val="32"/>
          <w:szCs w:val="32"/>
          <w:lang w:eastAsia="zh-CN"/>
        </w:rPr>
        <w:t>降</w:t>
      </w:r>
      <w:r>
        <w:rPr>
          <w:rFonts w:hint="eastAsia" w:ascii="仿宋_GB2312" w:eastAsia="仿宋_GB2312" w:hAnsiTheme="minorEastAsia"/>
          <w:sz w:val="32"/>
          <w:szCs w:val="32"/>
        </w:rPr>
        <w:t>幅</w:t>
      </w:r>
      <w:r>
        <w:rPr>
          <w:rFonts w:hint="eastAsia" w:ascii="仿宋_GB2312" w:eastAsia="仿宋_GB2312" w:hAnsiTheme="minorEastAsia"/>
          <w:sz w:val="32"/>
          <w:szCs w:val="32"/>
          <w:lang w:val="en-US" w:eastAsia="zh-CN"/>
        </w:rPr>
        <w:t>5.17</w:t>
      </w:r>
      <w:r>
        <w:rPr>
          <w:rFonts w:hint="eastAsia" w:ascii="仿宋_GB2312" w:eastAsia="仿宋_GB2312" w:hAnsiTheme="minorEastAsia"/>
          <w:sz w:val="32"/>
          <w:szCs w:val="32"/>
        </w:rPr>
        <w:t>%。主要是一般公共预算财政拨款</w:t>
      </w:r>
      <w:r>
        <w:rPr>
          <w:rFonts w:hint="eastAsia" w:ascii="仿宋_GB2312" w:eastAsia="仿宋_GB2312" w:hAnsiTheme="minorEastAsia"/>
          <w:sz w:val="32"/>
          <w:szCs w:val="32"/>
          <w:lang w:eastAsia="zh-CN"/>
        </w:rPr>
        <w:t>年初结转结余</w:t>
      </w:r>
      <w:r>
        <w:rPr>
          <w:rFonts w:hint="eastAsia" w:ascii="仿宋_GB2312" w:eastAsia="仿宋_GB2312" w:hAnsiTheme="minorEastAsia"/>
          <w:sz w:val="32"/>
          <w:szCs w:val="32"/>
        </w:rPr>
        <w:t>减少</w:t>
      </w:r>
      <w:r>
        <w:rPr>
          <w:rFonts w:hint="eastAsia" w:ascii="仿宋_GB2312" w:eastAsia="仿宋_GB2312" w:hAnsiTheme="minorEastAsia"/>
          <w:sz w:val="32"/>
          <w:szCs w:val="32"/>
          <w:lang w:eastAsia="zh-CN"/>
        </w:rPr>
        <w:t>，相应支出减少。</w:t>
      </w:r>
    </w:p>
    <w:p>
      <w:pPr>
        <w:spacing w:line="560" w:lineRule="exact"/>
        <w:ind w:firstLine="645"/>
        <w:rPr>
          <w:rFonts w:ascii="仿宋_GB2312" w:eastAsia="仿宋_GB2312" w:hAnsiTheme="minorEastAsia"/>
          <w:sz w:val="32"/>
          <w:szCs w:val="32"/>
        </w:rPr>
      </w:pPr>
    </w:p>
    <w:p>
      <w:pPr>
        <w:spacing w:line="560" w:lineRule="exact"/>
        <w:jc w:val="center"/>
        <w:rPr>
          <w:rFonts w:hint="eastAsia" w:ascii="仿宋_GB2312" w:eastAsia="仿宋_GB2312" w:hAnsiTheme="minorEastAsia"/>
          <w:b/>
          <w:sz w:val="32"/>
          <w:szCs w:val="32"/>
        </w:rPr>
      </w:pPr>
    </w:p>
    <w:p>
      <w:pPr>
        <w:spacing w:line="560" w:lineRule="exact"/>
        <w:jc w:val="center"/>
        <w:rPr>
          <w:rFonts w:hint="eastAsia" w:ascii="仿宋_GB2312" w:eastAsia="仿宋_GB2312" w:hAnsiTheme="minorEastAsia"/>
          <w:b/>
          <w:sz w:val="32"/>
          <w:szCs w:val="32"/>
        </w:rPr>
      </w:pPr>
    </w:p>
    <w:p>
      <w:pPr>
        <w:spacing w:line="560" w:lineRule="exact"/>
        <w:jc w:val="center"/>
        <w:rPr>
          <w:rFonts w:hint="eastAsia" w:ascii="仿宋_GB2312" w:eastAsia="仿宋_GB2312" w:hAnsiTheme="minorEastAsia"/>
          <w:b/>
          <w:sz w:val="32"/>
          <w:szCs w:val="32"/>
        </w:rPr>
      </w:pPr>
    </w:p>
    <w:p>
      <w:pPr>
        <w:spacing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图4：财政拨款收、支决算总计变动情况</w:t>
      </w:r>
    </w:p>
    <w:p>
      <w:pPr>
        <w:spacing w:line="560" w:lineRule="exact"/>
        <w:jc w:val="center"/>
        <w:rPr>
          <w:rFonts w:ascii="仿宋_GB2312" w:eastAsia="仿宋_GB2312" w:hAnsiTheme="minorEastAsia"/>
          <w:b/>
          <w:sz w:val="28"/>
          <w:szCs w:val="32"/>
        </w:rPr>
      </w:pPr>
      <w:r>
        <w:rPr>
          <w:rFonts w:hint="eastAsia" w:ascii="仿宋_GB2312" w:eastAsia="仿宋_GB2312" w:hAnsiTheme="minorEastAsia"/>
          <w:b/>
          <w:sz w:val="28"/>
          <w:szCs w:val="32"/>
        </w:rPr>
        <w:t>（单位：万元）</w:t>
      </w: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142"/>
        <w:rPr>
          <w:rFonts w:ascii="仿宋_GB2312" w:eastAsia="仿宋_GB2312" w:hAnsiTheme="minorEastAsia"/>
          <w:sz w:val="32"/>
          <w:szCs w:val="32"/>
        </w:rPr>
      </w:pPr>
    </w:p>
    <w:p>
      <w:pPr>
        <w:spacing w:line="560" w:lineRule="exact"/>
        <w:ind w:firstLine="142"/>
        <w:rPr>
          <w:rFonts w:ascii="仿宋_GB2312" w:eastAsia="仿宋_GB2312" w:hAnsiTheme="minorEastAsia"/>
          <w:sz w:val="32"/>
          <w:szCs w:val="32"/>
        </w:rPr>
      </w:pPr>
      <w:r>
        <w:rPr>
          <w:rFonts w:hint="eastAsia" w:ascii="仿宋_GB2312" w:eastAsia="仿宋_GB2312" w:hAnsiTheme="minorEastAsia"/>
          <w:sz w:val="32"/>
          <w:szCs w:val="32"/>
        </w:rPr>
        <w:drawing>
          <wp:anchor distT="0" distB="0" distL="114300" distR="114300" simplePos="0" relativeHeight="251662336" behindDoc="0" locked="0" layoutInCell="1" allowOverlap="1">
            <wp:simplePos x="0" y="0"/>
            <wp:positionH relativeFrom="margin">
              <wp:align>center</wp:align>
            </wp:positionH>
            <wp:positionV relativeFrom="paragraph">
              <wp:posOffset>-2788920</wp:posOffset>
            </wp:positionV>
            <wp:extent cx="5272405" cy="3081655"/>
            <wp:effectExtent l="0" t="0" r="4445" b="444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4"/>
        <w:spacing w:line="560" w:lineRule="exact"/>
      </w:pPr>
      <w:bookmarkStart w:id="40" w:name="_Toc141265116"/>
      <w:r>
        <w:rPr>
          <w:rFonts w:hint="eastAsia"/>
        </w:rPr>
        <w:t>五、一般公共预算财政拨款支出决算情况说明</w:t>
      </w:r>
      <w:bookmarkEnd w:id="40"/>
    </w:p>
    <w:p>
      <w:pPr>
        <w:ind w:firstLine="640" w:firstLineChars="200"/>
        <w:rPr>
          <w:rFonts w:hint="eastAsia" w:ascii="楷体_GB2312" w:eastAsia="楷体_GB2312"/>
          <w:sz w:val="32"/>
          <w:szCs w:val="32"/>
        </w:rPr>
      </w:pPr>
      <w:r>
        <w:rPr>
          <w:rFonts w:hint="eastAsia" w:ascii="楷体_GB2312" w:eastAsia="楷体_GB2312"/>
          <w:sz w:val="32"/>
          <w:szCs w:val="32"/>
        </w:rPr>
        <w:t>（一）财政拨款支出决算总体情况</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2022年度财政拨款支出</w:t>
      </w:r>
      <w:r>
        <w:rPr>
          <w:rFonts w:hint="eastAsia" w:ascii="仿宋_GB2312" w:eastAsia="仿宋_GB2312" w:hAnsiTheme="minorEastAsia"/>
          <w:sz w:val="32"/>
          <w:szCs w:val="32"/>
          <w:lang w:val="en-US" w:eastAsia="zh-CN"/>
        </w:rPr>
        <w:t>1404.12</w:t>
      </w:r>
      <w:r>
        <w:rPr>
          <w:rFonts w:hint="eastAsia" w:ascii="仿宋_GB2312" w:eastAsia="仿宋_GB2312" w:hAnsiTheme="minorEastAsia"/>
          <w:sz w:val="32"/>
          <w:szCs w:val="32"/>
        </w:rPr>
        <w:t>万元，占本年支出合计的</w:t>
      </w:r>
      <w:r>
        <w:rPr>
          <w:rFonts w:hint="eastAsia" w:ascii="仿宋_GB2312" w:eastAsia="仿宋_GB2312" w:hAnsiTheme="minorEastAsia"/>
          <w:sz w:val="32"/>
          <w:szCs w:val="32"/>
          <w:lang w:val="en-US" w:eastAsia="zh-CN"/>
        </w:rPr>
        <w:t>60.84</w:t>
      </w:r>
      <w:r>
        <w:rPr>
          <w:rFonts w:hint="eastAsia" w:ascii="仿宋_GB2312" w:eastAsia="仿宋_GB2312" w:hAnsiTheme="minorEastAsia"/>
          <w:sz w:val="32"/>
          <w:szCs w:val="32"/>
        </w:rPr>
        <w:t>%。与2021年相比，财政拨款支出减少</w:t>
      </w:r>
      <w:r>
        <w:rPr>
          <w:rFonts w:hint="eastAsia" w:ascii="仿宋_GB2312" w:eastAsia="仿宋_GB2312" w:hAnsiTheme="minorEastAsia"/>
          <w:sz w:val="32"/>
          <w:szCs w:val="32"/>
          <w:lang w:val="en-US" w:eastAsia="zh-CN"/>
        </w:rPr>
        <w:t>226.54</w:t>
      </w:r>
      <w:r>
        <w:rPr>
          <w:rFonts w:hint="eastAsia" w:ascii="仿宋_GB2312" w:eastAsia="仿宋_GB2312" w:hAnsiTheme="minorEastAsia"/>
          <w:sz w:val="32"/>
          <w:szCs w:val="32"/>
        </w:rPr>
        <w:t>万元，下降</w:t>
      </w:r>
      <w:r>
        <w:rPr>
          <w:rFonts w:hint="eastAsia" w:ascii="仿宋_GB2312" w:eastAsia="仿宋_GB2312" w:hAnsiTheme="minorEastAsia"/>
          <w:sz w:val="32"/>
          <w:szCs w:val="32"/>
          <w:lang w:val="en-US" w:eastAsia="zh-CN"/>
        </w:rPr>
        <w:t>13.89</w:t>
      </w:r>
      <w:r>
        <w:rPr>
          <w:rFonts w:hint="eastAsia" w:ascii="仿宋_GB2312" w:eastAsia="仿宋_GB2312" w:hAnsiTheme="minorEastAsia"/>
          <w:sz w:val="32"/>
          <w:szCs w:val="32"/>
        </w:rPr>
        <w:t>%。主要是工业和</w:t>
      </w:r>
      <w:r>
        <w:rPr>
          <w:rFonts w:hint="eastAsia" w:ascii="Times New Roman" w:hAnsi="Times New Roman" w:eastAsia="仿宋_GB2312" w:cs="Times New Roman"/>
          <w:color w:val="000000"/>
          <w:sz w:val="32"/>
        </w:rPr>
        <w:t>信息产业监管</w:t>
      </w:r>
      <w:r>
        <w:rPr>
          <w:rFonts w:hint="eastAsia" w:ascii="仿宋_GB2312" w:eastAsia="仿宋_GB2312" w:hAnsiTheme="minorEastAsia"/>
          <w:sz w:val="32"/>
          <w:szCs w:val="32"/>
        </w:rPr>
        <w:t>支出减少。</w:t>
      </w:r>
    </w:p>
    <w:p>
      <w:pPr>
        <w:spacing w:line="560" w:lineRule="exact"/>
        <w:ind w:firstLine="645"/>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图5：财政拨款支出决算变动情况</w:t>
      </w:r>
    </w:p>
    <w:p>
      <w:pPr>
        <w:spacing w:line="560" w:lineRule="exact"/>
        <w:jc w:val="center"/>
        <w:rPr>
          <w:rFonts w:ascii="仿宋_GB2312" w:eastAsia="仿宋_GB2312" w:hAnsiTheme="minorEastAsia"/>
          <w:b/>
          <w:sz w:val="28"/>
          <w:szCs w:val="32"/>
        </w:rPr>
      </w:pPr>
      <w:r>
        <w:rPr>
          <w:rFonts w:hint="eastAsia" w:ascii="仿宋_GB2312" w:eastAsia="仿宋_GB2312" w:hAnsiTheme="minorEastAsia"/>
          <w:b/>
          <w:sz w:val="28"/>
          <w:szCs w:val="32"/>
        </w:rPr>
        <w:t>（单位：万元）</w:t>
      </w:r>
    </w:p>
    <w:p>
      <w:pPr>
        <w:spacing w:line="560" w:lineRule="exact"/>
        <w:ind w:firstLine="645"/>
        <w:rPr>
          <w:rFonts w:ascii="仿宋_GB2312" w:eastAsia="仿宋_GB2312" w:hAnsiTheme="minorEastAsia"/>
          <w:sz w:val="32"/>
          <w:szCs w:val="32"/>
        </w:rPr>
      </w:pPr>
      <w:r>
        <w:rPr>
          <w:rFonts w:ascii="仿宋_GB2312" w:eastAsia="仿宋_GB2312" w:hAnsiTheme="minorEastAsia"/>
          <w:sz w:val="32"/>
          <w:szCs w:val="32"/>
        </w:rPr>
        <w:drawing>
          <wp:anchor distT="0" distB="0" distL="114300" distR="114300" simplePos="0" relativeHeight="251663360" behindDoc="0" locked="0" layoutInCell="1" allowOverlap="1">
            <wp:simplePos x="0" y="0"/>
            <wp:positionH relativeFrom="margin">
              <wp:posOffset>1854200</wp:posOffset>
            </wp:positionH>
            <wp:positionV relativeFrom="paragraph">
              <wp:posOffset>285115</wp:posOffset>
            </wp:positionV>
            <wp:extent cx="4695825" cy="2413635"/>
            <wp:effectExtent l="4445" t="4445" r="8890" b="508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ind w:firstLine="645"/>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ind w:firstLine="640" w:firstLineChars="200"/>
        <w:rPr>
          <w:rFonts w:hint="eastAsia" w:ascii="楷体_GB2312" w:eastAsia="楷体_GB2312"/>
          <w:sz w:val="32"/>
          <w:szCs w:val="32"/>
        </w:rPr>
      </w:pPr>
      <w:bookmarkStart w:id="41" w:name="_Toc141265117"/>
      <w:r>
        <w:rPr>
          <w:rFonts w:hint="eastAsia" w:ascii="楷体_GB2312" w:eastAsia="楷体_GB2312"/>
          <w:sz w:val="32"/>
          <w:szCs w:val="32"/>
        </w:rPr>
        <w:t>（二）财政拨款支出决算结构情况</w:t>
      </w:r>
      <w:bookmarkEnd w:id="41"/>
    </w:p>
    <w:p>
      <w:p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2022年度财政拨款支出</w:t>
      </w:r>
      <w:r>
        <w:rPr>
          <w:rFonts w:hint="eastAsia" w:ascii="仿宋_GB2312" w:eastAsia="仿宋_GB2312" w:hAnsiTheme="minorEastAsia"/>
          <w:sz w:val="32"/>
          <w:szCs w:val="32"/>
          <w:lang w:val="en-US" w:eastAsia="zh-CN"/>
        </w:rPr>
        <w:t>1404.12</w:t>
      </w:r>
      <w:r>
        <w:rPr>
          <w:rFonts w:hint="eastAsia" w:ascii="仿宋_GB2312" w:eastAsia="仿宋_GB2312" w:hAnsiTheme="minorEastAsia"/>
          <w:sz w:val="32"/>
          <w:szCs w:val="32"/>
        </w:rPr>
        <w:t>万元，主要用于以下方面：</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社会保障和就业（类）支出</w:t>
      </w:r>
      <w:r>
        <w:rPr>
          <w:rFonts w:hint="eastAsia" w:ascii="仿宋_GB2312" w:eastAsia="仿宋_GB2312" w:hAnsiTheme="minorEastAsia"/>
          <w:sz w:val="32"/>
          <w:szCs w:val="32"/>
          <w:lang w:val="en-US" w:eastAsia="zh-CN"/>
        </w:rPr>
        <w:t>103.92</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7.4</w:t>
      </w:r>
      <w:r>
        <w:rPr>
          <w:rFonts w:hint="eastAsia" w:ascii="仿宋_GB2312" w:eastAsia="仿宋_GB2312" w:hAnsiTheme="minorEastAsia"/>
          <w:sz w:val="32"/>
          <w:szCs w:val="32"/>
        </w:rPr>
        <w:t>%；</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卫生健康（类）支出</w:t>
      </w:r>
      <w:r>
        <w:rPr>
          <w:rFonts w:hint="eastAsia" w:ascii="仿宋_GB2312" w:eastAsia="仿宋_GB2312" w:hAnsiTheme="minorEastAsia"/>
          <w:sz w:val="32"/>
          <w:szCs w:val="32"/>
          <w:lang w:val="en-US" w:eastAsia="zh-CN"/>
        </w:rPr>
        <w:t>48.14</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3.43</w:t>
      </w:r>
      <w:r>
        <w:rPr>
          <w:rFonts w:hint="eastAsia" w:ascii="仿宋_GB2312" w:eastAsia="仿宋_GB2312" w:hAnsiTheme="minorEastAsia"/>
          <w:sz w:val="32"/>
          <w:szCs w:val="32"/>
        </w:rPr>
        <w:t>%；</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资源勘探工业信息等（类）支出</w:t>
      </w:r>
      <w:r>
        <w:rPr>
          <w:rFonts w:hint="eastAsia" w:ascii="仿宋_GB2312" w:eastAsia="仿宋_GB2312" w:hAnsiTheme="minorEastAsia"/>
          <w:sz w:val="32"/>
          <w:szCs w:val="32"/>
          <w:lang w:val="en-US" w:eastAsia="zh-CN"/>
        </w:rPr>
        <w:t>1197.48</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85.28</w:t>
      </w:r>
      <w:r>
        <w:rPr>
          <w:rFonts w:hint="eastAsia" w:ascii="仿宋_GB2312" w:eastAsia="仿宋_GB2312" w:hAnsiTheme="minorEastAsia"/>
          <w:sz w:val="32"/>
          <w:szCs w:val="32"/>
        </w:rPr>
        <w:t>%；</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住房保障（类）支出</w:t>
      </w:r>
      <w:r>
        <w:rPr>
          <w:rFonts w:hint="eastAsia" w:ascii="仿宋_GB2312" w:eastAsia="仿宋_GB2312" w:hAnsiTheme="minorEastAsia"/>
          <w:sz w:val="32"/>
          <w:szCs w:val="32"/>
          <w:lang w:val="en-US" w:eastAsia="zh-CN"/>
        </w:rPr>
        <w:t>54.59</w:t>
      </w:r>
      <w:r>
        <w:rPr>
          <w:rFonts w:hint="eastAsia" w:ascii="仿宋_GB2312" w:eastAsia="仿宋_GB2312" w:hAnsiTheme="minorEastAsia"/>
          <w:sz w:val="32"/>
          <w:szCs w:val="32"/>
        </w:rPr>
        <w:t>万元，占</w:t>
      </w:r>
      <w:r>
        <w:rPr>
          <w:rFonts w:hint="eastAsia" w:ascii="仿宋_GB2312" w:eastAsia="仿宋_GB2312" w:hAnsiTheme="minorEastAsia"/>
          <w:sz w:val="32"/>
          <w:szCs w:val="32"/>
          <w:lang w:val="en-US" w:eastAsia="zh-CN"/>
        </w:rPr>
        <w:t>3.89</w:t>
      </w:r>
      <w:r>
        <w:rPr>
          <w:rFonts w:hint="eastAsia" w:ascii="仿宋_GB2312" w:eastAsia="仿宋_GB2312" w:hAnsiTheme="minorEastAsia"/>
          <w:sz w:val="32"/>
          <w:szCs w:val="32"/>
        </w:rPr>
        <w:t>%。</w:t>
      </w:r>
    </w:p>
    <w:p>
      <w:pPr>
        <w:spacing w:line="560" w:lineRule="exact"/>
        <w:jc w:val="center"/>
        <w:rPr>
          <w:rFonts w:ascii="仿宋_GB2312" w:eastAsia="仿宋_GB2312" w:hAnsiTheme="minorEastAsia"/>
          <w:b/>
          <w:sz w:val="32"/>
          <w:szCs w:val="32"/>
        </w:rPr>
      </w:pPr>
      <w:r>
        <w:rPr>
          <w:rFonts w:hint="eastAsia" w:ascii="仿宋_GB2312" w:eastAsia="仿宋_GB2312" w:hAnsiTheme="minorEastAsia"/>
          <w:b/>
          <w:sz w:val="32"/>
          <w:szCs w:val="32"/>
        </w:rPr>
        <w:t>图6：财政拨款支出决算结构</w:t>
      </w: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p>
    <w:p>
      <w:pPr>
        <w:spacing w:line="560" w:lineRule="exact"/>
        <w:rPr>
          <w:rFonts w:ascii="仿宋_GB2312" w:eastAsia="仿宋_GB2312" w:hAnsiTheme="minorEastAsia"/>
          <w:sz w:val="32"/>
          <w:szCs w:val="32"/>
        </w:rPr>
      </w:pPr>
      <w:r>
        <w:rPr>
          <w:rFonts w:hint="eastAsia" w:ascii="仿宋_GB2312" w:eastAsia="仿宋_GB2312" w:hAnsiTheme="minorEastAsia"/>
          <w:sz w:val="32"/>
          <w:szCs w:val="32"/>
        </w:rPr>
        <w:drawing>
          <wp:anchor distT="0" distB="0" distL="114300" distR="114300" simplePos="0" relativeHeight="251664384" behindDoc="0" locked="0" layoutInCell="1" allowOverlap="1">
            <wp:simplePos x="0" y="0"/>
            <wp:positionH relativeFrom="margin">
              <wp:align>center</wp:align>
            </wp:positionH>
            <wp:positionV relativeFrom="paragraph">
              <wp:posOffset>-2787650</wp:posOffset>
            </wp:positionV>
            <wp:extent cx="5273040" cy="3079750"/>
            <wp:effectExtent l="19050" t="0" r="22668" b="647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ind w:firstLine="640" w:firstLineChars="200"/>
        <w:rPr>
          <w:rFonts w:hint="eastAsia" w:ascii="楷体_GB2312" w:eastAsia="楷体_GB2312"/>
          <w:sz w:val="32"/>
          <w:szCs w:val="32"/>
        </w:rPr>
      </w:pPr>
      <w:bookmarkStart w:id="42" w:name="_Toc141265118"/>
      <w:r>
        <w:rPr>
          <w:rFonts w:hint="eastAsia" w:ascii="楷体_GB2312" w:eastAsia="楷体_GB2312"/>
          <w:sz w:val="32"/>
          <w:szCs w:val="32"/>
        </w:rPr>
        <w:t>（三）财政拨款支出决算具体情况</w:t>
      </w:r>
      <w:bookmarkEnd w:id="42"/>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2022年度财政拨款支出</w:t>
      </w:r>
      <w:r>
        <w:rPr>
          <w:rFonts w:hint="eastAsia" w:ascii="仿宋_GB2312" w:eastAsia="仿宋_GB2312" w:hAnsiTheme="minorEastAsia"/>
          <w:sz w:val="32"/>
          <w:szCs w:val="32"/>
          <w:lang w:eastAsia="zh-CN"/>
        </w:rPr>
        <w:t>年初</w:t>
      </w:r>
      <w:r>
        <w:rPr>
          <w:rFonts w:hint="eastAsia" w:ascii="仿宋_GB2312" w:eastAsia="仿宋_GB2312" w:hAnsiTheme="minorEastAsia"/>
          <w:sz w:val="32"/>
          <w:szCs w:val="32"/>
        </w:rPr>
        <w:t>预算为</w:t>
      </w:r>
      <w:r>
        <w:rPr>
          <w:rFonts w:hint="eastAsia" w:ascii="仿宋_GB2312" w:eastAsia="仿宋_GB2312" w:hAnsiTheme="minorEastAsia"/>
          <w:sz w:val="32"/>
          <w:szCs w:val="32"/>
          <w:lang w:val="en-US" w:eastAsia="zh-CN"/>
        </w:rPr>
        <w:t>1523.45</w:t>
      </w:r>
      <w:r>
        <w:rPr>
          <w:rFonts w:hint="eastAsia" w:ascii="仿宋_GB2312" w:eastAsia="仿宋_GB2312" w:hAnsiTheme="minorEastAsia"/>
          <w:sz w:val="32"/>
          <w:szCs w:val="32"/>
        </w:rPr>
        <w:t>万元，支出决算为</w:t>
      </w:r>
      <w:r>
        <w:rPr>
          <w:rFonts w:hint="eastAsia" w:ascii="仿宋_GB2312" w:eastAsia="仿宋_GB2312" w:hAnsiTheme="minorEastAsia"/>
          <w:sz w:val="32"/>
          <w:szCs w:val="32"/>
          <w:lang w:val="en-US" w:eastAsia="zh-CN"/>
        </w:rPr>
        <w:t>1404.12</w:t>
      </w:r>
      <w:r>
        <w:rPr>
          <w:rFonts w:hint="eastAsia" w:ascii="仿宋_GB2312" w:eastAsia="仿宋_GB2312" w:hAnsiTheme="minorEastAsia"/>
          <w:sz w:val="32"/>
          <w:szCs w:val="32"/>
        </w:rPr>
        <w:t>万元，完成年初预算的91.</w:t>
      </w:r>
      <w:r>
        <w:rPr>
          <w:rFonts w:hint="eastAsia" w:ascii="仿宋_GB2312" w:eastAsia="仿宋_GB2312" w:hAnsiTheme="minorEastAsia"/>
          <w:sz w:val="32"/>
          <w:szCs w:val="32"/>
          <w:lang w:val="en-US" w:eastAsia="zh-CN"/>
        </w:rPr>
        <w:t>17</w:t>
      </w:r>
      <w:r>
        <w:rPr>
          <w:rFonts w:hint="eastAsia" w:ascii="仿宋_GB2312" w:eastAsia="仿宋_GB2312" w:hAnsiTheme="minorEastAsia"/>
          <w:sz w:val="32"/>
          <w:szCs w:val="32"/>
        </w:rPr>
        <w:t>%，其中：</w:t>
      </w:r>
    </w:p>
    <w:p>
      <w:pPr>
        <w:numPr>
          <w:ilvl w:val="0"/>
          <w:numId w:val="1"/>
        </w:numPr>
        <w:spacing w:line="560" w:lineRule="exact"/>
        <w:ind w:firstLine="645"/>
        <w:rPr>
          <w:rFonts w:hint="eastAsia" w:ascii="仿宋_GB2312" w:eastAsia="仿宋_GB2312" w:hAnsiTheme="minorEastAsia"/>
          <w:sz w:val="32"/>
          <w:szCs w:val="32"/>
        </w:rPr>
      </w:pPr>
      <w:r>
        <w:rPr>
          <w:rFonts w:hint="eastAsia" w:ascii="仿宋_GB2312" w:eastAsia="仿宋_GB2312" w:hAnsiTheme="minorEastAsia"/>
          <w:sz w:val="32"/>
          <w:szCs w:val="32"/>
        </w:rPr>
        <w:t>社会保障和就业支出（类）行政事业单位养老支出（款）行政单位离退休（项）。年初预算为</w:t>
      </w:r>
      <w:r>
        <w:rPr>
          <w:rFonts w:hint="eastAsia" w:ascii="仿宋_GB2312" w:eastAsia="仿宋_GB2312" w:hAnsiTheme="minorEastAsia"/>
          <w:sz w:val="32"/>
          <w:szCs w:val="32"/>
          <w:lang w:val="en-US" w:eastAsia="zh-CN"/>
        </w:rPr>
        <w:t>39.92</w:t>
      </w:r>
      <w:r>
        <w:rPr>
          <w:rFonts w:hint="eastAsia" w:ascii="仿宋_GB2312" w:eastAsia="仿宋_GB2312" w:hAnsiTheme="minorEastAsia"/>
          <w:sz w:val="32"/>
          <w:szCs w:val="32"/>
        </w:rPr>
        <w:t>万元，支出决算为</w:t>
      </w:r>
      <w:r>
        <w:rPr>
          <w:rFonts w:hint="eastAsia" w:ascii="仿宋_GB2312" w:eastAsia="仿宋_GB2312" w:hAnsiTheme="minorEastAsia"/>
          <w:sz w:val="32"/>
          <w:szCs w:val="32"/>
          <w:lang w:val="en-US" w:eastAsia="zh-CN"/>
        </w:rPr>
        <w:t>39.92</w:t>
      </w:r>
      <w:r>
        <w:rPr>
          <w:rFonts w:hint="eastAsia" w:ascii="仿宋_GB2312" w:eastAsia="仿宋_GB2312" w:hAnsiTheme="minorEastAsia"/>
          <w:sz w:val="32"/>
          <w:szCs w:val="32"/>
        </w:rPr>
        <w:t>元，完成年初预算的</w:t>
      </w:r>
      <w:r>
        <w:rPr>
          <w:rFonts w:hint="eastAsia" w:ascii="仿宋_GB2312" w:eastAsia="仿宋_GB2312" w:hAnsiTheme="minorEastAsia"/>
          <w:sz w:val="32"/>
          <w:szCs w:val="32"/>
          <w:lang w:val="en-US" w:eastAsia="zh-CN"/>
        </w:rPr>
        <w:t>100</w:t>
      </w:r>
      <w:r>
        <w:rPr>
          <w:rFonts w:hint="eastAsia" w:ascii="仿宋_GB2312" w:eastAsia="仿宋_GB2312" w:hAnsiTheme="minorEastAsia"/>
          <w:sz w:val="32"/>
          <w:szCs w:val="32"/>
        </w:rPr>
        <w:t>%。</w:t>
      </w:r>
    </w:p>
    <w:p>
      <w:pPr>
        <w:numPr>
          <w:ilvl w:val="0"/>
          <w:numId w:val="0"/>
        </w:numPr>
        <w:spacing w:line="56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2.社会保障和就业支出（类）行政事业单位养老支出（款）机关事业单位基本养老保险缴费支出（项）。年初预算为</w:t>
      </w:r>
      <w:r>
        <w:rPr>
          <w:rFonts w:hint="eastAsia" w:ascii="仿宋_GB2312" w:eastAsia="仿宋_GB2312" w:hAnsiTheme="minorEastAsia"/>
          <w:sz w:val="32"/>
          <w:szCs w:val="32"/>
          <w:lang w:val="en-US" w:eastAsia="zh-CN"/>
        </w:rPr>
        <w:t>42.67</w:t>
      </w:r>
      <w:r>
        <w:rPr>
          <w:rFonts w:hint="eastAsia" w:ascii="仿宋_GB2312" w:eastAsia="仿宋_GB2312" w:hAnsiTheme="minorEastAsia"/>
          <w:sz w:val="32"/>
          <w:szCs w:val="32"/>
        </w:rPr>
        <w:t>万元，支出决算为</w:t>
      </w:r>
      <w:r>
        <w:rPr>
          <w:rFonts w:hint="eastAsia" w:ascii="仿宋_GB2312" w:eastAsia="仿宋_GB2312" w:hAnsiTheme="minorEastAsia"/>
          <w:sz w:val="32"/>
          <w:szCs w:val="32"/>
          <w:lang w:val="en-US" w:eastAsia="zh-CN"/>
        </w:rPr>
        <w:t>42.67</w:t>
      </w:r>
      <w:r>
        <w:rPr>
          <w:rFonts w:hint="eastAsia" w:ascii="仿宋_GB2312" w:eastAsia="仿宋_GB2312" w:hAnsiTheme="minorEastAsia"/>
          <w:sz w:val="32"/>
          <w:szCs w:val="32"/>
        </w:rPr>
        <w:t>万元，完成年初预算的100%。</w:t>
      </w:r>
    </w:p>
    <w:p>
      <w:pPr>
        <w:spacing w:line="560" w:lineRule="exact"/>
        <w:ind w:firstLine="645"/>
        <w:rPr>
          <w:rFonts w:ascii="仿宋_GB2312" w:eastAsia="仿宋_GB2312"/>
        </w:rPr>
      </w:pPr>
      <w:r>
        <w:rPr>
          <w:rFonts w:hint="eastAsia" w:ascii="仿宋_GB2312" w:eastAsia="仿宋_GB2312" w:hAnsiTheme="minorEastAsia"/>
          <w:sz w:val="32"/>
          <w:szCs w:val="32"/>
        </w:rPr>
        <w:t>3.社会保障和就业支出（类）行政事业单位养老支出（款）机关事业单位职业年金缴费支出（项）。年初预算为</w:t>
      </w:r>
      <w:r>
        <w:rPr>
          <w:rFonts w:hint="eastAsia" w:ascii="仿宋_GB2312" w:eastAsia="仿宋_GB2312" w:hAnsiTheme="minorEastAsia"/>
          <w:sz w:val="32"/>
          <w:szCs w:val="32"/>
          <w:lang w:val="en-US" w:eastAsia="zh-CN"/>
        </w:rPr>
        <w:t>21.93</w:t>
      </w:r>
      <w:r>
        <w:rPr>
          <w:rFonts w:hint="eastAsia" w:ascii="仿宋_GB2312" w:eastAsia="仿宋_GB2312" w:hAnsiTheme="minorEastAsia"/>
          <w:sz w:val="32"/>
          <w:szCs w:val="32"/>
        </w:rPr>
        <w:t>万元，支出决算为</w:t>
      </w:r>
      <w:r>
        <w:rPr>
          <w:rFonts w:hint="eastAsia" w:ascii="仿宋_GB2312" w:eastAsia="仿宋_GB2312" w:hAnsiTheme="minorEastAsia"/>
          <w:sz w:val="32"/>
          <w:szCs w:val="32"/>
          <w:lang w:val="en-US" w:eastAsia="zh-CN"/>
        </w:rPr>
        <w:t>21.93</w:t>
      </w:r>
      <w:r>
        <w:rPr>
          <w:rFonts w:hint="eastAsia" w:ascii="仿宋_GB2312" w:eastAsia="仿宋_GB2312" w:hAnsiTheme="minorEastAsia"/>
          <w:sz w:val="32"/>
          <w:szCs w:val="32"/>
        </w:rPr>
        <w:t>万元，完成年初预算的100%。</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4.卫生健康支出（类）行政事业单位医疗（款）行政单位医疗（项）。年初预算为</w:t>
      </w:r>
      <w:r>
        <w:rPr>
          <w:rFonts w:hint="eastAsia" w:ascii="仿宋_GB2312" w:eastAsia="仿宋_GB2312" w:hAnsiTheme="minorEastAsia"/>
          <w:sz w:val="32"/>
          <w:szCs w:val="32"/>
          <w:lang w:val="en-US" w:eastAsia="zh-CN"/>
        </w:rPr>
        <w:t>52.07</w:t>
      </w:r>
      <w:r>
        <w:rPr>
          <w:rFonts w:hint="eastAsia" w:ascii="仿宋_GB2312" w:eastAsia="仿宋_GB2312" w:hAnsiTheme="minorEastAsia"/>
          <w:sz w:val="32"/>
          <w:szCs w:val="32"/>
        </w:rPr>
        <w:t>万元，支出决算为</w:t>
      </w:r>
      <w:r>
        <w:rPr>
          <w:rFonts w:hint="eastAsia" w:ascii="仿宋_GB2312" w:eastAsia="仿宋_GB2312" w:hAnsiTheme="minorEastAsia"/>
          <w:sz w:val="32"/>
          <w:szCs w:val="32"/>
          <w:lang w:val="en-US" w:eastAsia="zh-CN"/>
        </w:rPr>
        <w:t>48.14</w:t>
      </w:r>
      <w:r>
        <w:rPr>
          <w:rFonts w:hint="eastAsia" w:ascii="仿宋_GB2312" w:eastAsia="仿宋_GB2312" w:hAnsiTheme="minorEastAsia"/>
          <w:sz w:val="32"/>
          <w:szCs w:val="32"/>
        </w:rPr>
        <w:t>万元，</w:t>
      </w:r>
      <w:r>
        <w:rPr>
          <w:rFonts w:hint="eastAsia" w:ascii="仿宋_GB2312" w:eastAsia="仿宋_GB2312" w:hAnsiTheme="minorEastAsia"/>
          <w:sz w:val="32"/>
          <w:szCs w:val="32"/>
          <w:lang w:eastAsia="zh-CN"/>
        </w:rPr>
        <w:t>结转</w:t>
      </w:r>
      <w:r>
        <w:rPr>
          <w:rFonts w:hint="eastAsia" w:ascii="仿宋_GB2312" w:eastAsia="仿宋_GB2312" w:hAnsiTheme="minorEastAsia"/>
          <w:sz w:val="32"/>
          <w:szCs w:val="32"/>
          <w:lang w:val="en-US" w:eastAsia="zh-CN"/>
        </w:rPr>
        <w:t>3.93万元，年末有结转结余是因为医保基数调整，缴费金额有所下降。</w:t>
      </w:r>
    </w:p>
    <w:p>
      <w:pPr>
        <w:spacing w:line="560" w:lineRule="exact"/>
        <w:ind w:firstLine="645"/>
        <w:rPr>
          <w:rFonts w:ascii="仿宋_GB2312" w:hAnsi="Times New Roman" w:eastAsia="仿宋_GB2312" w:cs="Times New Roman"/>
          <w:color w:val="000000"/>
          <w:sz w:val="32"/>
        </w:rPr>
      </w:pPr>
      <w:r>
        <w:rPr>
          <w:rFonts w:hint="eastAsia" w:ascii="仿宋_GB2312" w:eastAsia="仿宋_GB2312" w:hAnsiTheme="minorEastAsia"/>
          <w:sz w:val="32"/>
          <w:szCs w:val="32"/>
        </w:rPr>
        <w:t>5.</w:t>
      </w:r>
      <w:r>
        <w:rPr>
          <w:rFonts w:hint="eastAsia" w:ascii="仿宋_GB2312" w:hAnsi="Times New Roman" w:eastAsia="仿宋_GB2312" w:cs="Times New Roman"/>
          <w:color w:val="000000"/>
          <w:sz w:val="32"/>
        </w:rPr>
        <w:t>资源勘探工业信息等支出（类）工业和信息产业监管（款）。年初预算为</w:t>
      </w:r>
      <w:r>
        <w:rPr>
          <w:rFonts w:hint="eastAsia" w:ascii="仿宋_GB2312" w:hAnsi="Times New Roman" w:eastAsia="仿宋_GB2312" w:cs="Times New Roman"/>
          <w:color w:val="000000"/>
          <w:sz w:val="32"/>
          <w:lang w:val="en-US" w:eastAsia="zh-CN"/>
        </w:rPr>
        <w:t>1312.87</w:t>
      </w:r>
      <w:r>
        <w:rPr>
          <w:rFonts w:hint="eastAsia" w:ascii="仿宋_GB2312" w:hAnsi="Times New Roman" w:eastAsia="仿宋_GB2312" w:cs="Times New Roman"/>
          <w:color w:val="000000"/>
          <w:sz w:val="32"/>
        </w:rPr>
        <w:t>万元，支出决算为</w:t>
      </w:r>
      <w:r>
        <w:rPr>
          <w:rFonts w:hint="eastAsia" w:ascii="仿宋_GB2312" w:hAnsi="Times New Roman" w:eastAsia="仿宋_GB2312" w:cs="Times New Roman"/>
          <w:color w:val="000000"/>
          <w:sz w:val="32"/>
          <w:lang w:val="en-US" w:eastAsia="zh-CN"/>
        </w:rPr>
        <w:t>1197.48</w:t>
      </w:r>
      <w:r>
        <w:rPr>
          <w:rFonts w:hint="eastAsia" w:ascii="仿宋_GB2312" w:hAnsi="Times New Roman" w:eastAsia="仿宋_GB2312" w:cs="Times New Roman"/>
          <w:color w:val="000000"/>
          <w:sz w:val="32"/>
        </w:rPr>
        <w:t>万元，完成年初预算的9</w:t>
      </w:r>
      <w:r>
        <w:rPr>
          <w:rFonts w:hint="eastAsia" w:ascii="仿宋_GB2312" w:hAnsi="Times New Roman" w:eastAsia="仿宋_GB2312" w:cs="Times New Roman"/>
          <w:color w:val="000000"/>
          <w:sz w:val="32"/>
          <w:lang w:val="en-US" w:eastAsia="zh-CN"/>
        </w:rPr>
        <w:t>1.21</w:t>
      </w:r>
      <w:r>
        <w:rPr>
          <w:rFonts w:hint="eastAsia" w:ascii="仿宋_GB2312" w:hAnsi="Times New Roman" w:eastAsia="仿宋_GB2312" w:cs="Times New Roman"/>
          <w:color w:val="000000"/>
          <w:sz w:val="32"/>
        </w:rPr>
        <w:t>%。</w:t>
      </w:r>
      <w:r>
        <w:rPr>
          <w:rFonts w:hint="eastAsia" w:ascii="仿宋_GB2312" w:eastAsia="仿宋_GB2312" w:hAnsiTheme="minorEastAsia"/>
          <w:sz w:val="32"/>
          <w:szCs w:val="32"/>
        </w:rPr>
        <w:t>决算数小于预算数的主要原因是基本建设项目支出年</w:t>
      </w:r>
      <w:r>
        <w:rPr>
          <w:rFonts w:hint="eastAsia" w:ascii="仿宋_GB2312" w:eastAsia="仿宋_GB2312" w:hAnsiTheme="minorEastAsia"/>
          <w:sz w:val="32"/>
          <w:szCs w:val="32"/>
          <w:lang w:eastAsia="zh-CN"/>
        </w:rPr>
        <w:t>初及年末均</w:t>
      </w:r>
      <w:r>
        <w:rPr>
          <w:rFonts w:hint="eastAsia" w:ascii="仿宋_GB2312" w:eastAsia="仿宋_GB2312" w:hAnsiTheme="minorEastAsia"/>
          <w:sz w:val="32"/>
          <w:szCs w:val="32"/>
        </w:rPr>
        <w:t>有结转。</w:t>
      </w:r>
    </w:p>
    <w:p>
      <w:pPr>
        <w:spacing w:line="560" w:lineRule="exact"/>
        <w:ind w:firstLine="645"/>
        <w:rPr>
          <w:rFonts w:hint="eastAsia" w:ascii="仿宋_GB2312" w:hAnsi="Times New Roman" w:eastAsia="仿宋_GB2312" w:cs="Times New Roman"/>
          <w:color w:val="000000"/>
          <w:sz w:val="32"/>
        </w:rPr>
      </w:pPr>
      <w:r>
        <w:rPr>
          <w:rFonts w:hint="eastAsia" w:ascii="仿宋_GB2312" w:eastAsia="仿宋_GB2312" w:hAnsiTheme="minorEastAsia"/>
          <w:sz w:val="32"/>
          <w:szCs w:val="32"/>
        </w:rPr>
        <w:t>6.</w:t>
      </w:r>
      <w:r>
        <w:rPr>
          <w:rFonts w:hint="eastAsia" w:ascii="仿宋_GB2312" w:hAnsi="Times New Roman" w:eastAsia="仿宋_GB2312" w:cs="Times New Roman"/>
          <w:color w:val="000000"/>
          <w:sz w:val="32"/>
        </w:rPr>
        <w:t>住房保障支出（类）住房改革支出（款）住房公积金（项）。年初预算为</w:t>
      </w:r>
      <w:r>
        <w:rPr>
          <w:rFonts w:hint="eastAsia" w:ascii="仿宋_GB2312" w:hAnsi="Times New Roman" w:eastAsia="仿宋_GB2312"/>
          <w:color w:val="000000"/>
          <w:sz w:val="32"/>
          <w:lang w:val="en-US" w:eastAsia="zh-CN"/>
        </w:rPr>
        <w:t>49.58</w:t>
      </w:r>
      <w:r>
        <w:rPr>
          <w:rFonts w:hint="eastAsia" w:ascii="仿宋_GB2312" w:hAnsi="Times New Roman" w:eastAsia="仿宋_GB2312" w:cs="Times New Roman"/>
          <w:color w:val="000000"/>
          <w:sz w:val="32"/>
        </w:rPr>
        <w:t>万元，支出决算为</w:t>
      </w:r>
      <w:r>
        <w:rPr>
          <w:rFonts w:hint="eastAsia" w:ascii="仿宋_GB2312" w:hAnsi="Times New Roman" w:eastAsia="仿宋_GB2312" w:cs="Times New Roman"/>
          <w:color w:val="000000"/>
          <w:sz w:val="32"/>
          <w:lang w:val="en-US" w:eastAsia="zh-CN"/>
        </w:rPr>
        <w:t>49.58</w:t>
      </w:r>
      <w:r>
        <w:rPr>
          <w:rFonts w:hint="eastAsia" w:ascii="仿宋_GB2312" w:hAnsi="Times New Roman" w:eastAsia="仿宋_GB2312" w:cs="Times New Roman"/>
          <w:color w:val="000000"/>
          <w:sz w:val="32"/>
        </w:rPr>
        <w:t>万元，完成年初预算的</w:t>
      </w:r>
      <w:r>
        <w:rPr>
          <w:rFonts w:hint="eastAsia" w:ascii="仿宋_GB2312" w:hAnsi="Times New Roman" w:eastAsia="仿宋_GB2312"/>
          <w:color w:val="000000"/>
          <w:sz w:val="32"/>
          <w:lang w:val="en-US" w:eastAsia="zh-CN"/>
        </w:rPr>
        <w:t>100</w:t>
      </w:r>
      <w:r>
        <w:rPr>
          <w:rFonts w:hint="eastAsia" w:ascii="仿宋_GB2312" w:hAnsi="Times New Roman" w:eastAsia="仿宋_GB2312" w:cs="Times New Roman"/>
          <w:color w:val="000000"/>
          <w:sz w:val="32"/>
        </w:rPr>
        <w:t>%。</w:t>
      </w:r>
    </w:p>
    <w:p>
      <w:pPr>
        <w:spacing w:line="560" w:lineRule="exact"/>
        <w:ind w:firstLine="645"/>
        <w:rPr>
          <w:rFonts w:ascii="仿宋_GB2312" w:eastAsia="仿宋_GB2312" w:hAnsiTheme="minorEastAsia"/>
          <w:sz w:val="32"/>
          <w:szCs w:val="32"/>
        </w:rPr>
      </w:pPr>
      <w:r>
        <w:rPr>
          <w:rFonts w:hint="eastAsia" w:ascii="仿宋_GB2312" w:eastAsia="仿宋_GB2312" w:hAnsiTheme="minorEastAsia"/>
          <w:sz w:val="32"/>
          <w:szCs w:val="32"/>
        </w:rPr>
        <w:t>7.</w:t>
      </w:r>
      <w:r>
        <w:rPr>
          <w:rFonts w:hint="eastAsia" w:ascii="仿宋_GB2312" w:hAnsi="Times New Roman" w:eastAsia="仿宋_GB2312" w:cs="Times New Roman"/>
          <w:color w:val="000000"/>
          <w:sz w:val="32"/>
        </w:rPr>
        <w:t>住房保障支出（类）住房改革支出（款）购房补贴（项）。年初预算为</w:t>
      </w:r>
      <w:r>
        <w:rPr>
          <w:rFonts w:hint="eastAsia" w:ascii="仿宋_GB2312" w:hAnsi="Times New Roman" w:eastAsia="仿宋_GB2312"/>
          <w:color w:val="000000"/>
          <w:sz w:val="32"/>
          <w:lang w:val="en-US" w:eastAsia="zh-CN"/>
        </w:rPr>
        <w:t>5.01</w:t>
      </w:r>
      <w:r>
        <w:rPr>
          <w:rFonts w:hint="eastAsia" w:ascii="仿宋_GB2312" w:hAnsi="Times New Roman" w:eastAsia="仿宋_GB2312" w:cs="Times New Roman"/>
          <w:color w:val="000000"/>
          <w:sz w:val="32"/>
        </w:rPr>
        <w:t>万元，支出决算为</w:t>
      </w:r>
      <w:r>
        <w:rPr>
          <w:rFonts w:hint="eastAsia" w:ascii="仿宋_GB2312" w:hAnsi="Times New Roman" w:eastAsia="仿宋_GB2312" w:cs="Times New Roman"/>
          <w:color w:val="000000"/>
          <w:sz w:val="32"/>
          <w:lang w:val="en-US" w:eastAsia="zh-CN"/>
        </w:rPr>
        <w:t>5.01</w:t>
      </w:r>
      <w:r>
        <w:rPr>
          <w:rFonts w:hint="eastAsia" w:ascii="仿宋_GB2312" w:hAnsi="Times New Roman" w:eastAsia="仿宋_GB2312" w:cs="Times New Roman"/>
          <w:color w:val="000000"/>
          <w:sz w:val="32"/>
        </w:rPr>
        <w:t>万元，完成年初预算的</w:t>
      </w:r>
      <w:r>
        <w:rPr>
          <w:rFonts w:hint="eastAsia" w:ascii="仿宋_GB2312" w:hAnsi="Times New Roman" w:eastAsia="仿宋_GB2312" w:cs="Times New Roman"/>
          <w:color w:val="000000"/>
          <w:sz w:val="32"/>
          <w:lang w:val="en-US" w:eastAsia="zh-CN"/>
        </w:rPr>
        <w:t>100</w:t>
      </w:r>
      <w:r>
        <w:rPr>
          <w:rFonts w:hint="eastAsia" w:ascii="仿宋_GB2312" w:hAnsi="Times New Roman" w:eastAsia="仿宋_GB2312" w:cs="Times New Roman"/>
          <w:color w:val="000000"/>
          <w:sz w:val="32"/>
        </w:rPr>
        <w:t>%。</w:t>
      </w:r>
    </w:p>
    <w:p>
      <w:pPr>
        <w:pStyle w:val="4"/>
        <w:spacing w:line="560" w:lineRule="exact"/>
      </w:pPr>
      <w:bookmarkStart w:id="43" w:name="_Toc3963"/>
      <w:bookmarkStart w:id="44" w:name="_Toc19097"/>
      <w:bookmarkStart w:id="45" w:name="_Toc141265119"/>
      <w:r>
        <w:rPr>
          <w:rFonts w:hint="eastAsia"/>
        </w:rPr>
        <w:t>六、一般公共预算财政拨款基本支出决算情况说明</w:t>
      </w:r>
      <w:bookmarkEnd w:id="43"/>
      <w:bookmarkEnd w:id="44"/>
      <w:bookmarkEnd w:id="45"/>
    </w:p>
    <w:p>
      <w:pPr>
        <w:spacing w:line="560" w:lineRule="exact"/>
        <w:ind w:firstLine="645"/>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20</w:t>
      </w:r>
      <w:r>
        <w:rPr>
          <w:rFonts w:hint="eastAsia" w:ascii="仿宋_GB2312" w:hAnsi="Times New Roman" w:eastAsia="仿宋_GB2312"/>
          <w:color w:val="000000"/>
          <w:sz w:val="32"/>
        </w:rPr>
        <w:t>22</w:t>
      </w:r>
      <w:r>
        <w:rPr>
          <w:rFonts w:hint="eastAsia" w:ascii="仿宋_GB2312" w:hAnsi="Times New Roman" w:eastAsia="仿宋_GB2312" w:cs="Times New Roman"/>
          <w:color w:val="000000"/>
          <w:sz w:val="32"/>
        </w:rPr>
        <w:t>年度财政拨款基本支出</w:t>
      </w:r>
      <w:r>
        <w:rPr>
          <w:rFonts w:hint="eastAsia" w:ascii="仿宋_GB2312" w:hAnsi="Times New Roman" w:eastAsia="仿宋_GB2312"/>
          <w:color w:val="000000"/>
          <w:sz w:val="32"/>
          <w:lang w:val="en-US" w:eastAsia="zh-CN"/>
        </w:rPr>
        <w:t>451.08</w:t>
      </w:r>
      <w:r>
        <w:rPr>
          <w:rFonts w:hint="eastAsia" w:ascii="仿宋_GB2312" w:hAnsi="Times New Roman" w:eastAsia="仿宋_GB2312" w:cs="Times New Roman"/>
          <w:color w:val="000000"/>
          <w:sz w:val="32"/>
        </w:rPr>
        <w:t>万元，其中：</w:t>
      </w:r>
    </w:p>
    <w:p>
      <w:pPr>
        <w:spacing w:line="560" w:lineRule="exact"/>
        <w:ind w:firstLine="645"/>
        <w:rPr>
          <w:rFonts w:hint="eastAsia" w:ascii="仿宋_GB2312" w:hAnsi="Times New Roman" w:eastAsia="仿宋_GB2312" w:cs="Times New Roman"/>
          <w:color w:val="000000"/>
          <w:sz w:val="32"/>
        </w:rPr>
      </w:pPr>
      <w:r>
        <w:rPr>
          <w:rFonts w:hint="eastAsia" w:ascii="仿宋_GB2312" w:hAnsi="Times New Roman" w:eastAsia="仿宋_GB2312" w:cs="Times New Roman"/>
          <w:color w:val="000000"/>
          <w:sz w:val="32"/>
        </w:rPr>
        <w:t>人员经费</w:t>
      </w:r>
      <w:r>
        <w:rPr>
          <w:rFonts w:hint="eastAsia" w:ascii="仿宋_GB2312" w:hAnsi="Times New Roman" w:eastAsia="仿宋_GB2312"/>
          <w:color w:val="000000"/>
          <w:sz w:val="32"/>
        </w:rPr>
        <w:t>3</w:t>
      </w:r>
      <w:r>
        <w:rPr>
          <w:rFonts w:hint="eastAsia" w:ascii="仿宋_GB2312" w:hAnsi="Times New Roman" w:eastAsia="仿宋_GB2312"/>
          <w:color w:val="000000"/>
          <w:sz w:val="32"/>
          <w:lang w:val="en-US" w:eastAsia="zh-CN"/>
        </w:rPr>
        <w:t>78.79</w:t>
      </w:r>
      <w:r>
        <w:rPr>
          <w:rFonts w:hint="eastAsia" w:ascii="仿宋_GB2312" w:hAnsi="Times New Roman" w:eastAsia="仿宋_GB2312" w:cs="Times New Roman"/>
          <w:color w:val="000000"/>
          <w:sz w:val="32"/>
        </w:rPr>
        <w:t>万元，主要包括：基本工资、津贴补贴、奖金、机关事业单位基本养老保险缴费、职业年金缴费、职工基本医疗保险缴费、公务员医疗补助缴费、其他社会保障缴费、</w:t>
      </w:r>
      <w:r>
        <w:rPr>
          <w:rFonts w:hint="eastAsia" w:ascii="仿宋_GB2312" w:hAnsi="Times New Roman" w:eastAsia="仿宋_GB2312"/>
          <w:color w:val="000000"/>
          <w:sz w:val="32"/>
        </w:rPr>
        <w:t>住房公积金和退休费</w:t>
      </w:r>
      <w:r>
        <w:rPr>
          <w:rFonts w:hint="eastAsia" w:ascii="仿宋_GB2312" w:hAnsi="Times New Roman" w:eastAsia="仿宋_GB2312" w:cs="Times New Roman"/>
          <w:color w:val="000000"/>
          <w:sz w:val="32"/>
        </w:rPr>
        <w:t>。</w:t>
      </w:r>
    </w:p>
    <w:p>
      <w:pPr>
        <w:spacing w:line="560" w:lineRule="exact"/>
        <w:ind w:firstLine="645"/>
        <w:rPr>
          <w:rFonts w:hint="eastAsia" w:ascii="仿宋_GB2312" w:hAnsi="Times New Roman" w:eastAsia="仿宋_GB2312"/>
          <w:color w:val="000000"/>
          <w:sz w:val="32"/>
        </w:rPr>
      </w:pPr>
      <w:r>
        <w:rPr>
          <w:rFonts w:hint="eastAsia" w:ascii="仿宋_GB2312" w:hAnsi="Times New Roman" w:eastAsia="仿宋_GB2312" w:cs="Times New Roman"/>
          <w:color w:val="000000"/>
          <w:sz w:val="32"/>
        </w:rPr>
        <w:t>公用经费</w:t>
      </w:r>
      <w:r>
        <w:rPr>
          <w:rFonts w:hint="eastAsia" w:ascii="仿宋_GB2312" w:hAnsi="Times New Roman" w:eastAsia="仿宋_GB2312"/>
          <w:color w:val="000000"/>
          <w:sz w:val="32"/>
        </w:rPr>
        <w:t>7</w:t>
      </w:r>
      <w:r>
        <w:rPr>
          <w:rFonts w:hint="eastAsia" w:ascii="仿宋_GB2312" w:hAnsi="Times New Roman" w:eastAsia="仿宋_GB2312"/>
          <w:color w:val="000000"/>
          <w:sz w:val="32"/>
          <w:lang w:val="en-US" w:eastAsia="zh-CN"/>
        </w:rPr>
        <w:t>2.29</w:t>
      </w:r>
      <w:r>
        <w:rPr>
          <w:rFonts w:hint="eastAsia" w:ascii="仿宋_GB2312" w:hAnsi="Times New Roman" w:eastAsia="仿宋_GB2312"/>
          <w:color w:val="000000"/>
          <w:sz w:val="32"/>
        </w:rPr>
        <w:t>万元，主要包括：办公费、</w:t>
      </w:r>
      <w:r>
        <w:rPr>
          <w:rFonts w:hint="eastAsia" w:ascii="仿宋_GB2312" w:hAnsi="Times New Roman" w:eastAsia="仿宋_GB2312" w:cs="Times New Roman"/>
          <w:color w:val="000000"/>
          <w:sz w:val="32"/>
        </w:rPr>
        <w:t>水费、邮电费、物业管理费、差旅费、租赁费、培训费、公务接待费、劳务费、委托业务费、工会经费、福利费、公务用车运行维护费、其他交通费用和其他商品和服务支出。</w:t>
      </w:r>
    </w:p>
    <w:p>
      <w:pPr>
        <w:pStyle w:val="4"/>
        <w:spacing w:line="560" w:lineRule="exact"/>
      </w:pPr>
      <w:bookmarkStart w:id="46" w:name="_Toc141265120"/>
      <w:bookmarkStart w:id="47" w:name="_Toc3653"/>
      <w:bookmarkStart w:id="48" w:name="_Toc22516"/>
      <w:bookmarkStart w:id="49" w:name="_Toc19906"/>
      <w:r>
        <w:rPr>
          <w:rFonts w:hint="eastAsia"/>
        </w:rPr>
        <w:t>七、一般公共预算财政拨款“三公”经费支出决算情况说明</w:t>
      </w:r>
      <w:bookmarkEnd w:id="46"/>
      <w:bookmarkEnd w:id="47"/>
      <w:bookmarkEnd w:id="48"/>
      <w:bookmarkEnd w:id="49"/>
    </w:p>
    <w:p>
      <w:pPr>
        <w:ind w:firstLine="640" w:firstLineChars="200"/>
        <w:rPr>
          <w:rFonts w:hint="eastAsia" w:ascii="楷体_GB2312" w:eastAsia="楷体_GB2312"/>
          <w:sz w:val="32"/>
          <w:szCs w:val="32"/>
        </w:rPr>
      </w:pPr>
      <w:bookmarkStart w:id="50" w:name="_Toc16300"/>
      <w:r>
        <w:rPr>
          <w:rFonts w:hint="eastAsia" w:ascii="楷体_GB2312" w:eastAsia="楷体_GB2312"/>
          <w:sz w:val="32"/>
          <w:szCs w:val="32"/>
        </w:rPr>
        <w:t>（一）“三公”经费财政拨款支出决算总体情况说明</w:t>
      </w:r>
      <w:bookmarkEnd w:id="50"/>
    </w:p>
    <w:p>
      <w:pPr>
        <w:snapToGrid w:val="0"/>
        <w:spacing w:line="560" w:lineRule="exact"/>
        <w:ind w:firstLine="640" w:firstLineChars="200"/>
        <w:rPr>
          <w:rFonts w:ascii="Times New Roman" w:hAnsi="Times New Roman" w:eastAsia="仿宋_GB2312" w:cs="Times New Roman"/>
          <w:color w:val="000000"/>
          <w:sz w:val="32"/>
          <w:highlight w:val="none"/>
        </w:rPr>
      </w:pPr>
      <w:r>
        <w:rPr>
          <w:rFonts w:hint="eastAsia" w:ascii="Times New Roman" w:hAnsi="Times New Roman" w:eastAsia="仿宋_GB2312"/>
          <w:color w:val="000000"/>
          <w:sz w:val="32"/>
        </w:rPr>
        <w:t>2022</w:t>
      </w:r>
      <w:r>
        <w:rPr>
          <w:rFonts w:hint="eastAsia" w:ascii="Times New Roman" w:hAnsi="Times New Roman" w:eastAsia="仿宋_GB2312" w:cs="Times New Roman"/>
          <w:color w:val="000000"/>
          <w:sz w:val="32"/>
        </w:rPr>
        <w:t>年度“三公”经费财政拨款支出预算为</w:t>
      </w:r>
      <w:r>
        <w:rPr>
          <w:rFonts w:hint="eastAsia" w:ascii="Times New Roman" w:hAnsi="Times New Roman" w:eastAsia="仿宋_GB2312" w:cs="Times New Roman"/>
          <w:color w:val="000000"/>
          <w:sz w:val="32"/>
          <w:lang w:val="en-US" w:eastAsia="zh-CN"/>
        </w:rPr>
        <w:t>24</w:t>
      </w:r>
      <w:r>
        <w:rPr>
          <w:rFonts w:hint="eastAsia" w:ascii="Times New Roman" w:hAnsi="Times New Roman" w:eastAsia="仿宋_GB2312" w:cs="Times New Roman"/>
          <w:color w:val="000000"/>
          <w:sz w:val="32"/>
        </w:rPr>
        <w:t>万元，支出决算为</w:t>
      </w:r>
      <w:r>
        <w:rPr>
          <w:rFonts w:hint="eastAsia" w:ascii="Times New Roman" w:hAnsi="Times New Roman" w:eastAsia="仿宋_GB2312" w:cs="Times New Roman"/>
          <w:color w:val="000000"/>
          <w:sz w:val="32"/>
          <w:lang w:val="en-US" w:eastAsia="zh-CN"/>
        </w:rPr>
        <w:t>8.21</w:t>
      </w:r>
      <w:r>
        <w:rPr>
          <w:rFonts w:hint="eastAsia" w:ascii="Times New Roman" w:hAnsi="Times New Roman" w:eastAsia="仿宋_GB2312" w:cs="Times New Roman"/>
          <w:color w:val="000000"/>
          <w:sz w:val="32"/>
        </w:rPr>
        <w:t>万元，完成预算的</w:t>
      </w:r>
      <w:r>
        <w:rPr>
          <w:rFonts w:hint="eastAsia" w:ascii="Times New Roman" w:hAnsi="Times New Roman" w:eastAsia="仿宋_GB2312" w:cs="Times New Roman"/>
          <w:color w:val="000000"/>
          <w:sz w:val="32"/>
          <w:lang w:val="en-US" w:eastAsia="zh-CN"/>
        </w:rPr>
        <w:t>34.2</w:t>
      </w:r>
      <w:r>
        <w:rPr>
          <w:rFonts w:hint="eastAsia" w:ascii="Times New Roman" w:hAnsi="Times New Roman" w:eastAsia="仿宋_GB2312" w:cs="Times New Roman"/>
          <w:color w:val="000000"/>
          <w:sz w:val="32"/>
          <w:highlight w:val="none"/>
        </w:rPr>
        <w:t>%</w:t>
      </w:r>
      <w:r>
        <w:rPr>
          <w:rFonts w:hint="eastAsia" w:ascii="Times New Roman" w:hAnsi="Times New Roman" w:eastAsia="仿宋_GB2312" w:cs="Times New Roman"/>
          <w:color w:val="000000"/>
          <w:sz w:val="32"/>
          <w:highlight w:val="none"/>
          <w:lang w:eastAsia="zh-CN"/>
        </w:rPr>
        <w:t>，较上年减少</w:t>
      </w:r>
      <w:r>
        <w:rPr>
          <w:rFonts w:hint="eastAsia" w:ascii="Times New Roman" w:hAnsi="Times New Roman" w:eastAsia="仿宋_GB2312" w:cs="Times New Roman"/>
          <w:color w:val="000000"/>
          <w:sz w:val="32"/>
          <w:highlight w:val="none"/>
          <w:lang w:val="en-US" w:eastAsia="zh-CN"/>
        </w:rPr>
        <w:t>0.28万元</w:t>
      </w:r>
      <w:r>
        <w:rPr>
          <w:rFonts w:hint="eastAsia" w:ascii="Times New Roman" w:hAnsi="Times New Roman" w:eastAsia="仿宋_GB2312" w:cs="Times New Roman"/>
          <w:color w:val="000000"/>
          <w:sz w:val="32"/>
          <w:highlight w:val="none"/>
        </w:rPr>
        <w:t>。决算数小于预算数的主要原因</w:t>
      </w:r>
      <w:r>
        <w:rPr>
          <w:rFonts w:hint="eastAsia" w:ascii="Times New Roman" w:hAnsi="Times New Roman" w:eastAsia="仿宋_GB2312"/>
          <w:color w:val="000000"/>
          <w:sz w:val="32"/>
          <w:highlight w:val="none"/>
        </w:rPr>
        <w:t>：一是认真贯彻落实“党政机关要坚持过紧日子”要求，厉行节约，从严控制“三公”经费开支；二是受疫情影响，部分工作未按计划开展</w:t>
      </w:r>
      <w:r>
        <w:rPr>
          <w:rFonts w:hint="eastAsia" w:ascii="Times New Roman" w:hAnsi="Times New Roman" w:eastAsia="仿宋_GB2312"/>
          <w:color w:val="000000"/>
          <w:sz w:val="32"/>
          <w:highlight w:val="none"/>
          <w:lang w:eastAsia="zh-CN"/>
        </w:rPr>
        <w:t>。</w:t>
      </w:r>
    </w:p>
    <w:p>
      <w:pPr>
        <w:ind w:firstLine="640" w:firstLineChars="200"/>
        <w:rPr>
          <w:rFonts w:hint="eastAsia" w:ascii="楷体_GB2312" w:eastAsia="楷体_GB2312"/>
          <w:sz w:val="32"/>
          <w:szCs w:val="32"/>
          <w:highlight w:val="none"/>
        </w:rPr>
      </w:pPr>
      <w:bookmarkStart w:id="51" w:name="_Toc21474"/>
      <w:r>
        <w:rPr>
          <w:rFonts w:hint="eastAsia" w:ascii="楷体_GB2312" w:eastAsia="楷体_GB2312"/>
          <w:sz w:val="32"/>
          <w:szCs w:val="32"/>
          <w:highlight w:val="none"/>
        </w:rPr>
        <w:t>（二）“三公”经费财政拨款支出决算具体情况说明</w:t>
      </w:r>
      <w:bookmarkEnd w:id="51"/>
    </w:p>
    <w:p>
      <w:pPr>
        <w:spacing w:line="560" w:lineRule="exact"/>
        <w:ind w:firstLine="645"/>
        <w:rPr>
          <w:rFonts w:hint="eastAsia" w:ascii="仿宋_GB2312" w:hAnsi="Times New Roman" w:eastAsia="仿宋_GB2312"/>
          <w:color w:val="000000"/>
          <w:sz w:val="32"/>
          <w:highlight w:val="none"/>
        </w:rPr>
      </w:pPr>
      <w:r>
        <w:rPr>
          <w:rFonts w:hint="eastAsia" w:ascii="仿宋_GB2312" w:eastAsia="仿宋_GB2312" w:hAnsiTheme="minorEastAsia"/>
          <w:b/>
          <w:sz w:val="32"/>
          <w:szCs w:val="32"/>
          <w:highlight w:val="none"/>
        </w:rPr>
        <w:t>1.因公出国（境）费</w:t>
      </w:r>
      <w:r>
        <w:rPr>
          <w:rFonts w:hint="eastAsia" w:ascii="仿宋_GB2312" w:eastAsia="仿宋_GB2312" w:hAnsiTheme="minorEastAsia"/>
          <w:sz w:val="32"/>
          <w:szCs w:val="32"/>
          <w:highlight w:val="none"/>
        </w:rPr>
        <w:t>预算为0万元，支出决算为0万元</w:t>
      </w:r>
      <w:r>
        <w:rPr>
          <w:rFonts w:hint="eastAsia" w:ascii="仿宋_GB2312" w:hAnsi="Times New Roman" w:eastAsia="仿宋_GB2312"/>
          <w:color w:val="000000"/>
          <w:sz w:val="32"/>
          <w:highlight w:val="none"/>
        </w:rPr>
        <w:t>。</w:t>
      </w:r>
    </w:p>
    <w:p>
      <w:pPr>
        <w:spacing w:line="560" w:lineRule="exact"/>
        <w:ind w:firstLine="640" w:firstLineChars="200"/>
        <w:rPr>
          <w:rFonts w:hint="eastAsia" w:ascii="仿宋_GB2312" w:hAnsi="Times New Roman" w:eastAsia="仿宋_GB2312" w:cs="Times New Roman"/>
          <w:sz w:val="32"/>
          <w:highlight w:val="none"/>
        </w:rPr>
      </w:pPr>
      <w:r>
        <w:rPr>
          <w:rFonts w:hint="eastAsia" w:ascii="仿宋_GB2312" w:hAnsi="Times New Roman" w:eastAsia="仿宋_GB2312"/>
          <w:color w:val="000000"/>
          <w:sz w:val="32"/>
          <w:highlight w:val="none"/>
        </w:rPr>
        <w:t>2.</w:t>
      </w:r>
      <w:r>
        <w:rPr>
          <w:rFonts w:hint="eastAsia" w:ascii="仿宋_GB2312" w:hAnsi="Times New Roman" w:eastAsia="仿宋_GB2312" w:cs="Times New Roman"/>
          <w:b/>
          <w:bCs/>
          <w:color w:val="000000"/>
          <w:sz w:val="32"/>
          <w:highlight w:val="none"/>
        </w:rPr>
        <w:t>公务用车购置及运行费</w:t>
      </w:r>
      <w:r>
        <w:rPr>
          <w:rFonts w:hint="eastAsia" w:ascii="仿宋_GB2312" w:hAnsi="Times New Roman" w:eastAsia="仿宋_GB2312" w:cs="Times New Roman"/>
          <w:bCs/>
          <w:color w:val="000000"/>
          <w:sz w:val="32"/>
          <w:highlight w:val="none"/>
        </w:rPr>
        <w:t>预算为</w:t>
      </w:r>
      <w:r>
        <w:rPr>
          <w:rFonts w:hint="eastAsia" w:ascii="仿宋_GB2312" w:hAnsi="Times New Roman" w:eastAsia="仿宋_GB2312" w:cs="Times New Roman"/>
          <w:bCs/>
          <w:color w:val="000000"/>
          <w:sz w:val="32"/>
          <w:highlight w:val="none"/>
          <w:lang w:val="en-US" w:eastAsia="zh-CN"/>
        </w:rPr>
        <w:t>21</w:t>
      </w:r>
      <w:r>
        <w:rPr>
          <w:rFonts w:hint="eastAsia" w:ascii="仿宋_GB2312" w:hAnsi="Times New Roman" w:eastAsia="仿宋_GB2312" w:cs="Times New Roman"/>
          <w:bCs/>
          <w:color w:val="000000"/>
          <w:sz w:val="32"/>
          <w:highlight w:val="none"/>
        </w:rPr>
        <w:t>.00万元，</w:t>
      </w:r>
      <w:r>
        <w:rPr>
          <w:rFonts w:hint="eastAsia" w:ascii="仿宋_GB2312" w:hAnsi="Times New Roman" w:eastAsia="仿宋_GB2312" w:cs="仿宋_GB2312"/>
          <w:sz w:val="32"/>
          <w:szCs w:val="40"/>
          <w:highlight w:val="none"/>
        </w:rPr>
        <w:t>支出决算为</w:t>
      </w:r>
      <w:r>
        <w:rPr>
          <w:rFonts w:hint="eastAsia" w:ascii="仿宋_GB2312" w:hAnsi="Times New Roman" w:eastAsia="仿宋_GB2312" w:cs="仿宋_GB2312"/>
          <w:sz w:val="32"/>
          <w:szCs w:val="40"/>
          <w:highlight w:val="none"/>
          <w:lang w:val="en-US" w:eastAsia="zh-CN"/>
        </w:rPr>
        <w:t>7.83</w:t>
      </w:r>
      <w:r>
        <w:rPr>
          <w:rFonts w:hint="eastAsia" w:ascii="仿宋_GB2312" w:hAnsi="Times New Roman" w:eastAsia="仿宋_GB2312" w:cs="仿宋_GB2312"/>
          <w:sz w:val="32"/>
          <w:szCs w:val="40"/>
          <w:highlight w:val="none"/>
        </w:rPr>
        <w:t>万元，完成预算的</w:t>
      </w:r>
      <w:r>
        <w:rPr>
          <w:rFonts w:hint="eastAsia" w:ascii="仿宋_GB2312" w:hAnsi="Times New Roman" w:eastAsia="仿宋_GB2312" w:cs="仿宋_GB2312"/>
          <w:sz w:val="32"/>
          <w:szCs w:val="40"/>
          <w:highlight w:val="none"/>
          <w:lang w:val="en-US" w:eastAsia="zh-CN"/>
        </w:rPr>
        <w:t>37.29</w:t>
      </w:r>
      <w:r>
        <w:rPr>
          <w:rFonts w:hint="eastAsia" w:ascii="仿宋_GB2312" w:hAnsi="Times New Roman" w:eastAsia="仿宋_GB2312" w:cs="仿宋_GB2312"/>
          <w:sz w:val="32"/>
          <w:szCs w:val="40"/>
          <w:highlight w:val="none"/>
        </w:rPr>
        <w:t>%</w:t>
      </w:r>
      <w:r>
        <w:rPr>
          <w:rFonts w:hint="eastAsia" w:ascii="Times New Roman" w:hAnsi="Times New Roman" w:eastAsia="仿宋_GB2312" w:cs="Times New Roman"/>
          <w:color w:val="000000"/>
          <w:sz w:val="32"/>
          <w:highlight w:val="none"/>
          <w:lang w:eastAsia="zh-CN"/>
        </w:rPr>
        <w:t>，较上年减少</w:t>
      </w:r>
      <w:r>
        <w:rPr>
          <w:rFonts w:hint="eastAsia" w:ascii="Times New Roman" w:hAnsi="Times New Roman" w:eastAsia="仿宋_GB2312" w:cs="Times New Roman"/>
          <w:color w:val="000000"/>
          <w:sz w:val="32"/>
          <w:highlight w:val="none"/>
          <w:lang w:val="en-US" w:eastAsia="zh-CN"/>
        </w:rPr>
        <w:t>0.22万元</w:t>
      </w:r>
      <w:r>
        <w:rPr>
          <w:rFonts w:hint="eastAsia" w:ascii="仿宋_GB2312" w:hAnsi="Times New Roman" w:eastAsia="仿宋_GB2312" w:cs="仿宋_GB2312"/>
          <w:sz w:val="32"/>
          <w:szCs w:val="40"/>
          <w:highlight w:val="none"/>
        </w:rPr>
        <w:t>。其中，公务用车购置费</w:t>
      </w:r>
      <w:r>
        <w:rPr>
          <w:rFonts w:hint="eastAsia" w:ascii="仿宋_GB2312" w:hAnsi="Times New Roman" w:eastAsia="仿宋_GB2312" w:cs="仿宋_GB2312"/>
          <w:sz w:val="32"/>
          <w:szCs w:val="40"/>
          <w:highlight w:val="none"/>
          <w:lang w:val="en-US" w:eastAsia="zh-CN"/>
        </w:rPr>
        <w:t>0</w:t>
      </w:r>
      <w:r>
        <w:rPr>
          <w:rFonts w:hint="eastAsia" w:ascii="仿宋_GB2312" w:hAnsi="Times New Roman" w:eastAsia="仿宋_GB2312" w:cs="仿宋_GB2312"/>
          <w:sz w:val="32"/>
          <w:szCs w:val="40"/>
          <w:highlight w:val="none"/>
        </w:rPr>
        <w:t>万元；公务用车运行维护费</w:t>
      </w:r>
      <w:r>
        <w:rPr>
          <w:rFonts w:hint="eastAsia" w:ascii="仿宋_GB2312" w:hAnsi="Times New Roman" w:eastAsia="仿宋_GB2312" w:cs="仿宋_GB2312"/>
          <w:sz w:val="32"/>
          <w:szCs w:val="40"/>
          <w:highlight w:val="none"/>
          <w:lang w:val="en-US" w:eastAsia="zh-CN"/>
        </w:rPr>
        <w:t>7.83</w:t>
      </w:r>
      <w:r>
        <w:rPr>
          <w:rFonts w:hint="eastAsia" w:ascii="仿宋_GB2312" w:hAnsi="Times New Roman" w:eastAsia="仿宋_GB2312" w:cs="仿宋_GB2312"/>
          <w:sz w:val="32"/>
          <w:szCs w:val="40"/>
          <w:highlight w:val="none"/>
        </w:rPr>
        <w:t>万元，</w:t>
      </w:r>
      <w:r>
        <w:rPr>
          <w:rFonts w:hint="eastAsia" w:ascii="仿宋_GB2312" w:hAnsi="Times New Roman" w:eastAsia="仿宋_GB2312" w:cs="Times New Roman"/>
          <w:sz w:val="32"/>
          <w:highlight w:val="none"/>
        </w:rPr>
        <w:t>主要是按规定保留的公务用车的</w:t>
      </w:r>
      <w:r>
        <w:rPr>
          <w:rFonts w:hint="eastAsia" w:ascii="仿宋_GB2312" w:hAnsi="Times New Roman" w:eastAsia="仿宋_GB2312"/>
          <w:sz w:val="32"/>
          <w:highlight w:val="none"/>
        </w:rPr>
        <w:t>燃油费、维修费、保险</w:t>
      </w:r>
      <w:r>
        <w:rPr>
          <w:rFonts w:hint="eastAsia" w:ascii="仿宋_GB2312" w:hAnsi="Times New Roman" w:eastAsia="仿宋_GB2312" w:cs="Times New Roman"/>
          <w:sz w:val="32"/>
          <w:highlight w:val="none"/>
        </w:rPr>
        <w:t>费等支出。截至</w:t>
      </w:r>
      <w:r>
        <w:rPr>
          <w:rFonts w:hint="eastAsia" w:ascii="仿宋_GB2312" w:hAnsi="Times New Roman" w:eastAsia="仿宋_GB2312"/>
          <w:sz w:val="32"/>
          <w:highlight w:val="none"/>
        </w:rPr>
        <w:t>2022</w:t>
      </w:r>
      <w:r>
        <w:rPr>
          <w:rFonts w:hint="eastAsia" w:ascii="仿宋_GB2312" w:hAnsi="Times New Roman" w:eastAsia="仿宋_GB2312" w:cs="Times New Roman"/>
          <w:sz w:val="32"/>
          <w:highlight w:val="none"/>
        </w:rPr>
        <w:t>年12月31日，开支财政拨款的公务用车保有量为</w:t>
      </w:r>
      <w:r>
        <w:rPr>
          <w:rFonts w:hint="eastAsia" w:ascii="仿宋_GB2312" w:hAnsi="Times New Roman" w:eastAsia="仿宋_GB2312" w:cs="Times New Roman"/>
          <w:sz w:val="32"/>
          <w:highlight w:val="none"/>
          <w:lang w:val="en-US" w:eastAsia="zh-CN"/>
        </w:rPr>
        <w:t>4</w:t>
      </w:r>
      <w:r>
        <w:rPr>
          <w:rFonts w:hint="eastAsia" w:ascii="仿宋_GB2312" w:hAnsi="Times New Roman" w:eastAsia="仿宋_GB2312" w:cs="Times New Roman"/>
          <w:sz w:val="32"/>
          <w:highlight w:val="none"/>
        </w:rPr>
        <w:t>辆。</w:t>
      </w:r>
    </w:p>
    <w:p>
      <w:pPr>
        <w:spacing w:line="560" w:lineRule="exact"/>
        <w:ind w:firstLine="643" w:firstLineChars="200"/>
        <w:rPr>
          <w:rFonts w:hint="eastAsia" w:ascii="仿宋_GB2312" w:eastAsia="仿宋_GB2312" w:hAnsiTheme="minorEastAsia"/>
          <w:sz w:val="32"/>
          <w:szCs w:val="32"/>
        </w:rPr>
      </w:pPr>
      <w:r>
        <w:rPr>
          <w:rFonts w:hint="eastAsia" w:ascii="仿宋_GB2312" w:hAnsi="Times New Roman" w:eastAsia="仿宋_GB2312" w:cs="Times New Roman"/>
          <w:b/>
          <w:bCs/>
          <w:color w:val="000000"/>
          <w:sz w:val="32"/>
          <w:highlight w:val="none"/>
        </w:rPr>
        <w:t>3.公务接待费</w:t>
      </w:r>
      <w:r>
        <w:rPr>
          <w:rFonts w:hint="eastAsia" w:ascii="仿宋_GB2312" w:hAnsi="Times New Roman" w:eastAsia="仿宋_GB2312" w:cs="Times New Roman"/>
          <w:bCs/>
          <w:color w:val="000000"/>
          <w:sz w:val="32"/>
          <w:highlight w:val="none"/>
        </w:rPr>
        <w:t>预算为</w:t>
      </w:r>
      <w:r>
        <w:rPr>
          <w:rFonts w:hint="eastAsia" w:ascii="仿宋_GB2312" w:hAnsi="Times New Roman" w:eastAsia="仿宋_GB2312" w:cs="Times New Roman"/>
          <w:bCs/>
          <w:color w:val="000000"/>
          <w:sz w:val="32"/>
          <w:highlight w:val="none"/>
          <w:lang w:val="en-US" w:eastAsia="zh-CN"/>
        </w:rPr>
        <w:t>3</w:t>
      </w:r>
      <w:r>
        <w:rPr>
          <w:rFonts w:hint="eastAsia" w:ascii="仿宋_GB2312" w:hAnsi="Times New Roman" w:eastAsia="仿宋_GB2312" w:cs="Times New Roman"/>
          <w:bCs/>
          <w:color w:val="000000"/>
          <w:sz w:val="32"/>
          <w:highlight w:val="none"/>
        </w:rPr>
        <w:t>万元，</w:t>
      </w:r>
      <w:r>
        <w:rPr>
          <w:rFonts w:hint="eastAsia" w:ascii="仿宋_GB2312" w:hAnsi="Times New Roman" w:eastAsia="仿宋_GB2312" w:cs="Times New Roman"/>
          <w:sz w:val="32"/>
          <w:highlight w:val="none"/>
        </w:rPr>
        <w:t>支出决算为</w:t>
      </w:r>
      <w:r>
        <w:rPr>
          <w:rFonts w:hint="eastAsia" w:ascii="仿宋_GB2312" w:hAnsi="Times New Roman" w:eastAsia="仿宋_GB2312"/>
          <w:sz w:val="32"/>
          <w:highlight w:val="none"/>
        </w:rPr>
        <w:t>0.</w:t>
      </w:r>
      <w:r>
        <w:rPr>
          <w:rFonts w:hint="eastAsia" w:ascii="仿宋_GB2312" w:hAnsi="Times New Roman" w:eastAsia="仿宋_GB2312"/>
          <w:sz w:val="32"/>
          <w:highlight w:val="none"/>
          <w:lang w:val="en-US" w:eastAsia="zh-CN"/>
        </w:rPr>
        <w:t>38</w:t>
      </w:r>
      <w:r>
        <w:rPr>
          <w:rFonts w:hint="eastAsia" w:ascii="仿宋_GB2312" w:hAnsi="Times New Roman" w:eastAsia="仿宋_GB2312" w:cs="Times New Roman"/>
          <w:sz w:val="32"/>
          <w:highlight w:val="none"/>
        </w:rPr>
        <w:t>万元，完成预算的</w:t>
      </w:r>
      <w:r>
        <w:rPr>
          <w:rFonts w:hint="eastAsia" w:ascii="仿宋_GB2312" w:hAnsi="Times New Roman" w:eastAsia="仿宋_GB2312" w:cs="Times New Roman"/>
          <w:sz w:val="32"/>
          <w:highlight w:val="none"/>
          <w:lang w:val="en-US" w:eastAsia="zh-CN"/>
        </w:rPr>
        <w:t>12.67</w:t>
      </w:r>
      <w:r>
        <w:rPr>
          <w:rFonts w:hint="eastAsia" w:ascii="仿宋_GB2312" w:hAnsi="Times New Roman" w:eastAsia="仿宋_GB2312" w:cs="Times New Roman"/>
          <w:sz w:val="32"/>
          <w:highlight w:val="none"/>
        </w:rPr>
        <w:t>%</w:t>
      </w:r>
      <w:r>
        <w:rPr>
          <w:rFonts w:hint="eastAsia" w:ascii="Times New Roman" w:hAnsi="Times New Roman" w:eastAsia="仿宋_GB2312" w:cs="Times New Roman"/>
          <w:color w:val="000000"/>
          <w:sz w:val="32"/>
          <w:highlight w:val="none"/>
          <w:lang w:eastAsia="zh-CN"/>
        </w:rPr>
        <w:t>，较上年减少</w:t>
      </w:r>
      <w:r>
        <w:rPr>
          <w:rFonts w:hint="eastAsia" w:ascii="Times New Roman" w:hAnsi="Times New Roman" w:eastAsia="仿宋_GB2312" w:cs="Times New Roman"/>
          <w:color w:val="000000"/>
          <w:sz w:val="32"/>
          <w:highlight w:val="none"/>
          <w:lang w:val="en-US" w:eastAsia="zh-CN"/>
        </w:rPr>
        <w:t>0.06万元，</w:t>
      </w:r>
      <w:r>
        <w:rPr>
          <w:rFonts w:hint="eastAsia" w:ascii="仿宋_GB2312" w:hAnsi="Times New Roman" w:eastAsia="仿宋_GB2312" w:cs="Times New Roman"/>
          <w:sz w:val="32"/>
          <w:highlight w:val="none"/>
        </w:rPr>
        <w:t>主要</w:t>
      </w:r>
      <w:r>
        <w:rPr>
          <w:rFonts w:hint="eastAsia" w:ascii="仿宋_GB2312" w:hAnsi="Times New Roman" w:eastAsia="仿宋_GB2312" w:cs="Times New Roman"/>
          <w:sz w:val="32"/>
        </w:rPr>
        <w:t>是</w:t>
      </w:r>
      <w:r>
        <w:rPr>
          <w:rFonts w:hint="eastAsia" w:ascii="仿宋_GB2312" w:hAnsi="Times New Roman" w:eastAsia="仿宋_GB2312"/>
          <w:sz w:val="32"/>
        </w:rPr>
        <w:t>本单位</w:t>
      </w:r>
      <w:r>
        <w:rPr>
          <w:rFonts w:hint="eastAsia" w:ascii="仿宋_GB2312" w:hAnsi="Times New Roman" w:eastAsia="仿宋_GB2312" w:cs="Times New Roman"/>
          <w:sz w:val="32"/>
        </w:rPr>
        <w:t>与国内相关</w:t>
      </w:r>
      <w:r>
        <w:rPr>
          <w:rFonts w:hint="eastAsia" w:ascii="仿宋_GB2312" w:hAnsi="Times New Roman" w:eastAsia="仿宋_GB2312" w:cs="Times New Roman"/>
          <w:color w:val="000000"/>
          <w:sz w:val="32"/>
        </w:rPr>
        <w:t>单位</w:t>
      </w:r>
      <w:r>
        <w:rPr>
          <w:rFonts w:hint="eastAsia" w:ascii="仿宋_GB2312" w:hAnsi="Times New Roman" w:eastAsia="仿宋_GB2312" w:cs="Times New Roman"/>
          <w:sz w:val="32"/>
        </w:rPr>
        <w:t>交流工作、接受相关部门工作检查指导发生的接待支出。</w:t>
      </w:r>
      <w:r>
        <w:rPr>
          <w:rFonts w:hint="eastAsia" w:ascii="仿宋_GB2312" w:hAnsi="Times New Roman" w:eastAsia="仿宋_GB2312" w:cs="Times New Roman"/>
          <w:color w:val="000000"/>
          <w:sz w:val="32"/>
        </w:rPr>
        <w:t>2022年发生国内公务接待</w:t>
      </w:r>
      <w:r>
        <w:rPr>
          <w:rFonts w:hint="eastAsia" w:ascii="仿宋_GB2312" w:hAnsi="Times New Roman" w:eastAsia="仿宋_GB2312" w:cs="Times New Roman"/>
          <w:color w:val="000000"/>
          <w:sz w:val="32"/>
          <w:lang w:val="en-US" w:eastAsia="zh-CN"/>
        </w:rPr>
        <w:t>2</w:t>
      </w:r>
      <w:r>
        <w:rPr>
          <w:rFonts w:hint="eastAsia" w:ascii="仿宋_GB2312" w:hAnsi="Times New Roman" w:eastAsia="仿宋_GB2312" w:cs="Times New Roman"/>
          <w:color w:val="000000"/>
          <w:sz w:val="32"/>
        </w:rPr>
        <w:t>批次，共</w:t>
      </w:r>
      <w:r>
        <w:rPr>
          <w:rFonts w:hint="eastAsia" w:ascii="仿宋_GB2312" w:hAnsi="Times New Roman" w:eastAsia="仿宋_GB2312" w:cs="Times New Roman"/>
          <w:color w:val="000000"/>
          <w:sz w:val="32"/>
          <w:lang w:val="en-US" w:eastAsia="zh-CN"/>
        </w:rPr>
        <w:t>18</w:t>
      </w:r>
      <w:r>
        <w:rPr>
          <w:rFonts w:hint="eastAsia" w:ascii="仿宋_GB2312" w:hAnsi="Times New Roman" w:eastAsia="仿宋_GB2312" w:cs="Times New Roman"/>
          <w:color w:val="000000"/>
          <w:sz w:val="32"/>
        </w:rPr>
        <w:t>人次</w:t>
      </w:r>
      <w:r>
        <w:rPr>
          <w:rFonts w:hint="eastAsia" w:ascii="仿宋_GB2312" w:hAnsi="Times New Roman" w:eastAsia="仿宋_GB2312"/>
          <w:color w:val="000000"/>
          <w:sz w:val="32"/>
        </w:rPr>
        <w:t>。</w:t>
      </w:r>
    </w:p>
    <w:p>
      <w:pPr>
        <w:pStyle w:val="4"/>
        <w:spacing w:line="560" w:lineRule="exact"/>
        <w:rPr>
          <w:rFonts w:ascii="Times New Roman" w:hAnsi="Times New Roman"/>
        </w:rPr>
      </w:pPr>
      <w:bookmarkStart w:id="52" w:name="_Toc141265121"/>
      <w:r>
        <w:rPr>
          <w:rFonts w:hint="eastAsia" w:ascii="Times New Roman" w:hAnsi="Times New Roman"/>
        </w:rPr>
        <w:t>八、预算绩效情况说明</w:t>
      </w:r>
      <w:bookmarkEnd w:id="52"/>
    </w:p>
    <w:p>
      <w:pPr>
        <w:autoSpaceDE w:val="0"/>
        <w:spacing w:line="560" w:lineRule="exact"/>
        <w:ind w:firstLine="640" w:firstLineChars="200"/>
        <w:rPr>
          <w:rFonts w:ascii="楷体_GB2312" w:hAnsi="Times New Roman" w:eastAsia="楷体_GB2312" w:cs="仿宋_GB2312"/>
          <w:sz w:val="32"/>
          <w:szCs w:val="32"/>
        </w:rPr>
      </w:pPr>
      <w:r>
        <w:rPr>
          <w:rFonts w:hint="eastAsia" w:ascii="楷体_GB2312" w:hAnsi="Times New Roman" w:eastAsia="楷体_GB2312" w:cs="仿宋_GB2312"/>
          <w:sz w:val="32"/>
          <w:szCs w:val="32"/>
        </w:rPr>
        <w:t>（一）预算绩效管理工作开展情况</w:t>
      </w:r>
    </w:p>
    <w:p>
      <w:pPr>
        <w:spacing w:line="560" w:lineRule="exact"/>
        <w:ind w:firstLine="640"/>
        <w:rPr>
          <w:rFonts w:ascii="仿宋_GB2312" w:hAnsi="Times New Roman" w:eastAsia="仿宋_GB2312" w:cs="Times New Roman"/>
          <w:color w:val="000000"/>
          <w:sz w:val="32"/>
        </w:rPr>
      </w:pPr>
      <w:r>
        <w:rPr>
          <w:rFonts w:hint="eastAsia" w:ascii="仿宋_GB2312" w:hAnsi="Times New Roman" w:eastAsia="仿宋_GB2312" w:cs="Times New Roman"/>
          <w:color w:val="000000"/>
          <w:sz w:val="32"/>
        </w:rPr>
        <w:t>根据预算绩效管理要求，我单位对2021年度</w:t>
      </w:r>
      <w:r>
        <w:rPr>
          <w:rFonts w:hint="eastAsia" w:ascii="仿宋_GB2312" w:hAnsi="Times New Roman" w:eastAsia="仿宋_GB2312" w:cs="Times New Roman"/>
          <w:color w:val="000000"/>
          <w:sz w:val="32"/>
          <w:lang w:val="en-US" w:eastAsia="zh-CN"/>
        </w:rPr>
        <w:t>3</w:t>
      </w:r>
      <w:r>
        <w:rPr>
          <w:rFonts w:hint="eastAsia" w:ascii="仿宋_GB2312" w:hAnsi="Times New Roman" w:eastAsia="仿宋_GB2312" w:cs="Times New Roman"/>
          <w:color w:val="000000"/>
          <w:sz w:val="32"/>
        </w:rPr>
        <w:t>个一般公共预算项目，4个非财政拨款项目全面开展绩效自评，覆盖率100%。</w:t>
      </w:r>
    </w:p>
    <w:p>
      <w:pPr>
        <w:spacing w:line="560" w:lineRule="exact"/>
        <w:ind w:firstLine="640"/>
        <w:rPr>
          <w:rFonts w:ascii="楷体_GB2312" w:hAnsi="Times New Roman" w:eastAsia="楷体_GB2312" w:cs="Times New Roman"/>
          <w:color w:val="000000"/>
          <w:sz w:val="32"/>
        </w:rPr>
      </w:pPr>
      <w:r>
        <w:rPr>
          <w:rFonts w:hint="eastAsia" w:ascii="楷体_GB2312" w:hAnsi="Times New Roman" w:eastAsia="楷体_GB2312" w:cs="Times New Roman"/>
          <w:color w:val="000000"/>
          <w:sz w:val="32"/>
        </w:rPr>
        <w:t>（二）部门决算中项目绩效自评结果</w:t>
      </w:r>
    </w:p>
    <w:p>
      <w:pPr>
        <w:spacing w:line="560" w:lineRule="exact"/>
        <w:ind w:firstLine="640"/>
        <w:rPr>
          <w:rFonts w:ascii="仿宋_GB2312" w:hAnsi="Times New Roman" w:eastAsia="仿宋_GB2312" w:cs="Times New Roman"/>
          <w:color w:val="000000"/>
          <w:sz w:val="32"/>
        </w:rPr>
      </w:pPr>
      <w:r>
        <w:rPr>
          <w:rFonts w:hint="eastAsia" w:ascii="仿宋_GB2312" w:hAnsi="Times New Roman" w:eastAsia="仿宋_GB2312" w:cs="Times New Roman"/>
          <w:color w:val="000000"/>
          <w:sz w:val="32"/>
        </w:rPr>
        <w:t>从评价情况来看，各项目立项依据充分，立项程序规范，管理制度较为健全，组织实施较为有效，较好地实现了信息通信监管相关工作的预期绩效目标，对部门履职、产业发展、创新能力提升、公共服务体系建设起到积极促进作用。但评价也发现一些问题，如个别项目预算执行率偏低、实施效益还需提升等，将在下一步工作中予以改进。</w:t>
      </w:r>
    </w:p>
    <w:p>
      <w:pPr>
        <w:pStyle w:val="4"/>
        <w:spacing w:line="560" w:lineRule="exact"/>
      </w:pPr>
      <w:bookmarkStart w:id="53" w:name="_Toc141265122"/>
      <w:r>
        <w:rPr>
          <w:rFonts w:hint="eastAsia"/>
        </w:rPr>
        <w:t>九、其他重要事项的情况说明</w:t>
      </w:r>
      <w:bookmarkEnd w:id="53"/>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w:t>
      </w:r>
      <w:r>
        <w:rPr>
          <w:rFonts w:hint="eastAsia" w:ascii="楷体_GB2312" w:eastAsia="楷体_GB2312"/>
          <w:sz w:val="32"/>
          <w:szCs w:val="32"/>
        </w:rPr>
        <w:t>机关运行经费支出说明</w:t>
      </w:r>
    </w:p>
    <w:p>
      <w:pPr>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2022</w:t>
      </w:r>
      <w:r>
        <w:rPr>
          <w:rFonts w:ascii="Times New Roman" w:hAnsi="Times New Roman" w:eastAsia="仿宋_GB2312" w:cs="Times New Roman"/>
          <w:sz w:val="32"/>
        </w:rPr>
        <w:t>年度机关运行经费支出</w:t>
      </w:r>
      <w:r>
        <w:rPr>
          <w:rFonts w:hint="eastAsia" w:ascii="Times New Roman" w:hAnsi="Times New Roman" w:eastAsia="仿宋_GB2312" w:cs="Times New Roman"/>
          <w:sz w:val="32"/>
        </w:rPr>
        <w:t>7</w:t>
      </w:r>
      <w:r>
        <w:rPr>
          <w:rFonts w:hint="eastAsia" w:ascii="Times New Roman" w:hAnsi="Times New Roman" w:eastAsia="仿宋_GB2312" w:cs="Times New Roman"/>
          <w:sz w:val="32"/>
          <w:lang w:val="en-US" w:eastAsia="zh-CN"/>
        </w:rPr>
        <w:t>2.29</w:t>
      </w:r>
      <w:r>
        <w:rPr>
          <w:rFonts w:hint="eastAsia" w:ascii="Times New Roman" w:hAnsi="Times New Roman" w:eastAsia="仿宋_GB2312" w:cs="Times New Roman"/>
          <w:sz w:val="32"/>
        </w:rPr>
        <w:t>万元，比2021年度增加</w:t>
      </w:r>
      <w:r>
        <w:rPr>
          <w:rFonts w:hint="eastAsia" w:ascii="Times New Roman" w:hAnsi="Times New Roman" w:eastAsia="仿宋_GB2312" w:cs="Times New Roman"/>
          <w:sz w:val="32"/>
          <w:lang w:val="en-US" w:eastAsia="zh-CN"/>
        </w:rPr>
        <w:t>0.28</w:t>
      </w:r>
      <w:r>
        <w:rPr>
          <w:rFonts w:hint="eastAsia" w:ascii="Times New Roman" w:hAnsi="Times New Roman" w:eastAsia="仿宋_GB2312" w:cs="Times New Roman"/>
          <w:sz w:val="32"/>
        </w:rPr>
        <w:t>万元，增幅</w:t>
      </w:r>
      <w:r>
        <w:rPr>
          <w:rFonts w:hint="eastAsia" w:ascii="Times New Roman" w:hAnsi="Times New Roman" w:eastAsia="仿宋_GB2312" w:cs="Times New Roman"/>
          <w:sz w:val="32"/>
          <w:lang w:val="en-US" w:eastAsia="zh-CN"/>
        </w:rPr>
        <w:t>0.38</w:t>
      </w:r>
      <w:r>
        <w:rPr>
          <w:rFonts w:hint="eastAsia" w:ascii="Times New Roman" w:hAnsi="Times New Roman" w:eastAsia="仿宋_GB2312" w:cs="Times New Roman"/>
          <w:sz w:val="32"/>
        </w:rPr>
        <w:t>%</w:t>
      </w:r>
      <w:r>
        <w:rPr>
          <w:rFonts w:ascii="Times New Roman" w:hAnsi="Times New Roman" w:eastAsia="仿宋_GB2312" w:cs="Times New Roman"/>
          <w:sz w:val="32"/>
        </w:rPr>
        <w:t>。</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w:t>
      </w:r>
      <w:r>
        <w:rPr>
          <w:rFonts w:hint="eastAsia" w:ascii="楷体_GB2312" w:eastAsia="楷体_GB2312"/>
          <w:sz w:val="32"/>
          <w:szCs w:val="32"/>
        </w:rPr>
        <w:t>政府采购支出说明</w:t>
      </w:r>
    </w:p>
    <w:p>
      <w:pPr>
        <w:spacing w:line="560" w:lineRule="exact"/>
        <w:ind w:firstLine="645"/>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2022</w:t>
      </w:r>
      <w:r>
        <w:rPr>
          <w:rFonts w:ascii="Times New Roman" w:hAnsi="Times New Roman" w:eastAsia="仿宋_GB2312" w:cs="Times New Roman"/>
          <w:sz w:val="32"/>
          <w:szCs w:val="32"/>
        </w:rPr>
        <w:t>年度政府采购支出总额</w:t>
      </w:r>
      <w:r>
        <w:rPr>
          <w:rFonts w:hint="eastAsia" w:ascii="Times New Roman" w:hAnsi="Times New Roman" w:eastAsia="仿宋_GB2312" w:cs="Times New Roman"/>
          <w:sz w:val="32"/>
          <w:szCs w:val="32"/>
          <w:lang w:val="en-US" w:eastAsia="zh-CN"/>
        </w:rPr>
        <w:t>234.52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其中</w:t>
      </w:r>
      <w:r>
        <w:rPr>
          <w:rFonts w:ascii="Times New Roman" w:hAnsi="Times New Roman" w:eastAsia="仿宋_GB2312" w:cs="Times New Roman"/>
          <w:sz w:val="32"/>
          <w:szCs w:val="32"/>
        </w:rPr>
        <w:t>政府采购货物支出</w:t>
      </w:r>
      <w:r>
        <w:rPr>
          <w:rFonts w:hint="eastAsia" w:ascii="Times New Roman" w:hAnsi="Times New Roman" w:eastAsia="仿宋_GB2312" w:cs="Times New Roman"/>
          <w:sz w:val="32"/>
          <w:szCs w:val="32"/>
          <w:lang w:val="en-US" w:eastAsia="zh-CN"/>
        </w:rPr>
        <w:t>1.35万元，政府采购工程233.17万元</w:t>
      </w:r>
      <w:r>
        <w:rPr>
          <w:rFonts w:ascii="Times New Roman" w:hAnsi="Times New Roman" w:eastAsia="仿宋_GB2312" w:cs="Times New Roman"/>
          <w:sz w:val="32"/>
          <w:szCs w:val="32"/>
        </w:rPr>
        <w:t>。授予中小企业合同金</w:t>
      </w:r>
      <w:r>
        <w:rPr>
          <w:rFonts w:hint="eastAsia" w:ascii="Times New Roman" w:hAnsi="Times New Roman" w:eastAsia="仿宋_GB2312" w:cs="Times New Roman"/>
          <w:sz w:val="32"/>
          <w:szCs w:val="32"/>
        </w:rPr>
        <w:t>额</w:t>
      </w:r>
      <w:r>
        <w:rPr>
          <w:rFonts w:hint="eastAsia" w:ascii="Times New Roman" w:hAnsi="Times New Roman" w:eastAsia="仿宋_GB2312" w:cs="Times New Roman"/>
          <w:sz w:val="32"/>
          <w:szCs w:val="32"/>
          <w:lang w:val="en-US" w:eastAsia="zh-CN"/>
        </w:rPr>
        <w:t>11.57</w:t>
      </w:r>
      <w:r>
        <w:rPr>
          <w:rFonts w:ascii="Times New Roman" w:hAnsi="Times New Roman" w:eastAsia="仿宋_GB2312" w:cs="Times New Roman"/>
          <w:sz w:val="32"/>
          <w:szCs w:val="32"/>
        </w:rPr>
        <w:t>万元，占政府采购支出总额的</w:t>
      </w:r>
      <w:r>
        <w:rPr>
          <w:rFonts w:hint="eastAsia" w:ascii="Times New Roman" w:hAnsi="Times New Roman" w:eastAsia="仿宋_GB2312" w:cs="Times New Roman"/>
          <w:sz w:val="32"/>
          <w:szCs w:val="32"/>
          <w:lang w:val="en-US" w:eastAsia="zh-CN"/>
        </w:rPr>
        <w:t>4.9</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，其中：授予小微企业合同金额</w:t>
      </w:r>
      <w:r>
        <w:rPr>
          <w:rFonts w:hint="eastAsia" w:ascii="Times New Roman" w:hAnsi="Times New Roman" w:eastAsia="仿宋_GB2312" w:cs="Times New Roman"/>
          <w:sz w:val="32"/>
          <w:szCs w:val="32"/>
          <w:lang w:val="en-US" w:eastAsia="zh-CN"/>
        </w:rPr>
        <w:t>11.57</w:t>
      </w:r>
      <w:r>
        <w:rPr>
          <w:rFonts w:hint="eastAsia" w:ascii="Times New Roman" w:hAnsi="Times New Roman" w:eastAsia="仿宋_GB2312" w:cs="Times New Roman"/>
          <w:sz w:val="32"/>
          <w:szCs w:val="32"/>
        </w:rPr>
        <w:t>万元，占授予中小企业合同金额的100%。</w:t>
      </w:r>
    </w:p>
    <w:p>
      <w:pPr>
        <w:spacing w:line="560" w:lineRule="exact"/>
        <w:ind w:firstLine="645"/>
        <w:rPr>
          <w:rFonts w:ascii="楷体_GB2312" w:eastAsia="楷体_GB2312"/>
          <w:sz w:val="32"/>
          <w:szCs w:val="32"/>
        </w:rPr>
      </w:pPr>
      <w:r>
        <w:rPr>
          <w:rFonts w:hint="eastAsia" w:ascii="楷体_GB2312" w:hAnsi="Times New Roman" w:eastAsia="楷体_GB2312" w:cs="Times New Roman"/>
          <w:sz w:val="32"/>
          <w:szCs w:val="32"/>
        </w:rPr>
        <w:t>（三）</w:t>
      </w:r>
      <w:r>
        <w:rPr>
          <w:rFonts w:hint="eastAsia" w:ascii="楷体_GB2312" w:eastAsia="楷体_GB2312"/>
          <w:sz w:val="32"/>
          <w:szCs w:val="32"/>
        </w:rPr>
        <w:t>国有资产占用情况说明</w:t>
      </w:r>
    </w:p>
    <w:p>
      <w:pPr>
        <w:autoSpaceDE w:val="0"/>
        <w:spacing w:line="600" w:lineRule="exact"/>
        <w:ind w:firstLine="640" w:firstLineChars="200"/>
        <w:rPr>
          <w:rFonts w:ascii="仿宋_GB2312" w:hAnsi="Times New Roman" w:eastAsia="仿宋_GB2312"/>
          <w:color w:val="000000"/>
          <w:sz w:val="32"/>
        </w:rPr>
      </w:pPr>
      <w:r>
        <w:rPr>
          <w:rFonts w:hint="eastAsia" w:ascii="仿宋_GB2312" w:hAnsi="Times New Roman" w:eastAsia="仿宋_GB2312"/>
          <w:color w:val="000000"/>
          <w:sz w:val="32"/>
        </w:rPr>
        <w:t>截至202</w:t>
      </w:r>
      <w:r>
        <w:rPr>
          <w:rFonts w:hint="eastAsia" w:ascii="仿宋_GB2312" w:hAnsi="Times New Roman" w:eastAsia="仿宋_GB2312"/>
          <w:color w:val="000000"/>
          <w:sz w:val="32"/>
          <w:lang w:val="en-US" w:eastAsia="zh-CN"/>
        </w:rPr>
        <w:t>2</w:t>
      </w:r>
      <w:r>
        <w:rPr>
          <w:rFonts w:hint="eastAsia" w:ascii="仿宋_GB2312" w:hAnsi="Times New Roman" w:eastAsia="仿宋_GB2312"/>
          <w:color w:val="000000"/>
          <w:sz w:val="32"/>
        </w:rPr>
        <w:t>年12月31日，我单位共有车辆</w:t>
      </w:r>
      <w:r>
        <w:rPr>
          <w:rFonts w:hint="eastAsia" w:ascii="仿宋_GB2312" w:hAnsi="Times New Roman" w:eastAsia="仿宋_GB2312"/>
          <w:color w:val="000000"/>
          <w:sz w:val="32"/>
          <w:lang w:val="en-US" w:eastAsia="zh-CN"/>
        </w:rPr>
        <w:t>4</w:t>
      </w:r>
      <w:r>
        <w:rPr>
          <w:rFonts w:hint="eastAsia" w:ascii="仿宋_GB2312" w:hAnsi="Times New Roman" w:eastAsia="仿宋_GB2312"/>
          <w:color w:val="000000"/>
          <w:sz w:val="32"/>
        </w:rPr>
        <w:t>辆，其中：</w:t>
      </w:r>
      <w:r>
        <w:rPr>
          <w:rFonts w:hint="eastAsia" w:ascii="仿宋_GB2312" w:hAnsi="Times New Roman" w:eastAsia="仿宋_GB2312"/>
          <w:color w:val="000000"/>
          <w:sz w:val="32"/>
          <w:lang w:eastAsia="zh-CN"/>
        </w:rPr>
        <w:t>主要领导干部用车</w:t>
      </w:r>
      <w:r>
        <w:rPr>
          <w:rFonts w:hint="eastAsia" w:ascii="仿宋_GB2312" w:hAnsi="Times New Roman" w:eastAsia="仿宋_GB2312"/>
          <w:color w:val="000000"/>
          <w:sz w:val="32"/>
          <w:lang w:val="en-US" w:eastAsia="zh-CN"/>
        </w:rPr>
        <w:t>1辆、</w:t>
      </w:r>
      <w:r>
        <w:rPr>
          <w:rFonts w:hint="eastAsia" w:ascii="仿宋_GB2312" w:hAnsi="Times New Roman" w:eastAsia="仿宋_GB2312"/>
          <w:color w:val="000000"/>
          <w:sz w:val="32"/>
        </w:rPr>
        <w:t>机要通信用车</w:t>
      </w:r>
      <w:r>
        <w:rPr>
          <w:rFonts w:hint="eastAsia" w:ascii="仿宋_GB2312" w:hAnsi="Times New Roman" w:eastAsia="仿宋_GB2312"/>
          <w:color w:val="000000"/>
          <w:sz w:val="32"/>
          <w:lang w:val="en-US" w:eastAsia="zh-CN"/>
        </w:rPr>
        <w:t>1辆</w:t>
      </w:r>
      <w:r>
        <w:rPr>
          <w:rFonts w:hint="eastAsia" w:ascii="仿宋_GB2312" w:hAnsi="Times New Roman" w:eastAsia="仿宋_GB2312"/>
          <w:color w:val="000000"/>
          <w:sz w:val="32"/>
        </w:rPr>
        <w:t>、</w:t>
      </w:r>
      <w:r>
        <w:rPr>
          <w:rFonts w:hint="eastAsia" w:ascii="仿宋_GB2312" w:hAnsi="Times New Roman" w:eastAsia="仿宋_GB2312"/>
          <w:color w:val="000000"/>
          <w:sz w:val="32"/>
          <w:lang w:eastAsia="zh-CN"/>
        </w:rPr>
        <w:t>应急通信保障车</w:t>
      </w:r>
      <w:r>
        <w:rPr>
          <w:rFonts w:hint="eastAsia" w:ascii="仿宋_GB2312" w:hAnsi="Times New Roman" w:eastAsia="仿宋_GB2312"/>
          <w:color w:val="000000"/>
          <w:sz w:val="32"/>
          <w:lang w:val="en-US" w:eastAsia="zh-CN"/>
        </w:rPr>
        <w:t>1辆、</w:t>
      </w:r>
      <w:r>
        <w:rPr>
          <w:rFonts w:hint="eastAsia" w:ascii="仿宋_GB2312" w:hAnsi="Times New Roman" w:eastAsia="仿宋_GB2312"/>
          <w:color w:val="000000"/>
          <w:sz w:val="32"/>
          <w:lang w:eastAsia="zh-CN"/>
        </w:rPr>
        <w:t>离退休干部</w:t>
      </w:r>
      <w:r>
        <w:rPr>
          <w:rFonts w:hint="eastAsia" w:ascii="仿宋_GB2312" w:hAnsi="Times New Roman" w:eastAsia="仿宋_GB2312"/>
          <w:color w:val="000000"/>
          <w:sz w:val="32"/>
        </w:rPr>
        <w:t>用车1辆；单价</w:t>
      </w:r>
      <w:r>
        <w:rPr>
          <w:rFonts w:hint="eastAsia" w:ascii="仿宋_GB2312" w:hAnsi="Times New Roman" w:eastAsia="仿宋_GB2312"/>
          <w:color w:val="000000"/>
          <w:sz w:val="32"/>
          <w:lang w:val="en-US" w:eastAsia="zh-CN"/>
        </w:rPr>
        <w:t>100</w:t>
      </w:r>
      <w:r>
        <w:rPr>
          <w:rFonts w:hint="eastAsia" w:ascii="仿宋_GB2312" w:hAnsi="Times New Roman" w:eastAsia="仿宋_GB2312"/>
          <w:color w:val="000000"/>
          <w:sz w:val="32"/>
        </w:rPr>
        <w:t>万元</w:t>
      </w:r>
      <w:r>
        <w:rPr>
          <w:rFonts w:hint="eastAsia" w:ascii="仿宋_GB2312" w:hAnsi="Times New Roman" w:eastAsia="仿宋_GB2312"/>
          <w:color w:val="000000"/>
          <w:sz w:val="32"/>
          <w:lang w:eastAsia="zh-CN"/>
        </w:rPr>
        <w:t>（含）</w:t>
      </w:r>
      <w:r>
        <w:rPr>
          <w:rFonts w:hint="eastAsia" w:ascii="仿宋_GB2312" w:hAnsi="Times New Roman" w:eastAsia="仿宋_GB2312"/>
          <w:color w:val="000000"/>
          <w:sz w:val="32"/>
        </w:rPr>
        <w:t>以上设备</w:t>
      </w:r>
      <w:r>
        <w:rPr>
          <w:rFonts w:hint="eastAsia" w:ascii="仿宋_GB2312" w:hAnsi="Times New Roman" w:eastAsia="仿宋_GB2312"/>
          <w:color w:val="000000"/>
          <w:sz w:val="32"/>
          <w:lang w:val="en-US" w:eastAsia="zh-CN"/>
        </w:rPr>
        <w:t>7</w:t>
      </w:r>
      <w:r>
        <w:rPr>
          <w:rFonts w:hint="eastAsia" w:ascii="仿宋_GB2312" w:hAnsi="Times New Roman" w:eastAsia="仿宋_GB2312"/>
          <w:color w:val="000000"/>
          <w:sz w:val="32"/>
        </w:rPr>
        <w:t>台（套）。</w:t>
      </w:r>
    </w:p>
    <w:p>
      <w:pPr>
        <w:autoSpaceDE w:val="0"/>
        <w:spacing w:line="560" w:lineRule="exact"/>
        <w:ind w:firstLine="640" w:firstLineChars="200"/>
        <w:rPr>
          <w:rFonts w:ascii="仿宋_GB2312" w:hAnsi="Times New Roman" w:eastAsia="仿宋_GB2312" w:cs="Times New Roman"/>
          <w:color w:val="000000"/>
          <w:sz w:val="32"/>
        </w:rPr>
      </w:pPr>
    </w:p>
    <w:p>
      <w:pPr>
        <w:autoSpaceDE w:val="0"/>
        <w:spacing w:line="600" w:lineRule="exact"/>
        <w:rPr>
          <w:rFonts w:ascii="仿宋_GB2312" w:hAnsi="Times New Roman" w:eastAsia="仿宋_GB2312" w:cs="Times New Roman"/>
          <w:color w:val="000000"/>
          <w:sz w:val="32"/>
        </w:rPr>
      </w:pPr>
    </w:p>
    <w:p>
      <w:pPr>
        <w:pStyle w:val="3"/>
        <w:jc w:val="center"/>
        <w:rPr>
          <w:rFonts w:hint="eastAsia" w:ascii="黑体" w:hAnsi="Times New Roman" w:eastAsia="黑体"/>
          <w:b w:val="0"/>
          <w:sz w:val="84"/>
          <w:szCs w:val="84"/>
        </w:rPr>
      </w:pPr>
      <w:bookmarkStart w:id="54" w:name="_Toc16537"/>
      <w:bookmarkStart w:id="55" w:name="_Toc30668"/>
      <w:bookmarkStart w:id="56" w:name="_Toc141265123"/>
    </w:p>
    <w:p>
      <w:pPr>
        <w:pStyle w:val="3"/>
        <w:jc w:val="center"/>
        <w:rPr>
          <w:rFonts w:ascii="仿宋_GB2312" w:eastAsia="仿宋_GB2312"/>
          <w:b/>
          <w:bCs/>
          <w:sz w:val="32"/>
          <w:szCs w:val="32"/>
        </w:rPr>
      </w:pPr>
      <w:bookmarkStart w:id="62" w:name="_GoBack"/>
      <w:bookmarkEnd w:id="62"/>
      <w:r>
        <w:rPr>
          <w:rFonts w:hint="eastAsia" w:ascii="黑体" w:hAnsi="Times New Roman" w:eastAsia="黑体"/>
          <w:b w:val="0"/>
          <w:sz w:val="84"/>
          <w:szCs w:val="84"/>
        </w:rPr>
        <w:t>第四部分</w:t>
      </w:r>
      <w:bookmarkEnd w:id="54"/>
      <w:bookmarkEnd w:id="55"/>
      <w:bookmarkStart w:id="57" w:name="_Toc32316"/>
      <w:bookmarkStart w:id="58" w:name="_Toc19818"/>
      <w:r>
        <w:rPr>
          <w:rFonts w:hint="eastAsia" w:ascii="黑体" w:hAnsi="Times New Roman" w:eastAsia="黑体"/>
          <w:b w:val="0"/>
          <w:sz w:val="84"/>
          <w:szCs w:val="84"/>
        </w:rPr>
        <w:t xml:space="preserve">  名词解释</w:t>
      </w:r>
      <w:bookmarkEnd w:id="56"/>
      <w:bookmarkEnd w:id="57"/>
      <w:bookmarkEnd w:id="58"/>
      <w:bookmarkStart w:id="59" w:name="_Toc12048"/>
      <w:bookmarkStart w:id="60" w:name="_Toc12738"/>
      <w:bookmarkStart w:id="61" w:name="_Toc14045"/>
    </w:p>
    <w:p>
      <w:pPr>
        <w:spacing w:line="560" w:lineRule="exact"/>
        <w:ind w:firstLine="643" w:firstLineChars="200"/>
        <w:rPr>
          <w:rFonts w:ascii="仿宋_GB2312" w:eastAsia="仿宋_GB2312"/>
          <w:sz w:val="32"/>
          <w:szCs w:val="32"/>
        </w:rPr>
      </w:pPr>
      <w:r>
        <w:rPr>
          <w:rFonts w:hint="eastAsia" w:ascii="仿宋_GB2312" w:eastAsia="仿宋_GB2312"/>
          <w:b/>
          <w:bCs/>
          <w:sz w:val="32"/>
          <w:szCs w:val="32"/>
        </w:rPr>
        <w:t>一、一般公共预算财政拨款收入：</w:t>
      </w:r>
      <w:r>
        <w:rPr>
          <w:rFonts w:hint="eastAsia" w:ascii="仿宋_GB2312" w:eastAsia="仿宋_GB2312"/>
          <w:sz w:val="32"/>
          <w:szCs w:val="32"/>
        </w:rPr>
        <w:t>指中央财政当年拨付的资金。</w:t>
      </w:r>
      <w:bookmarkEnd w:id="59"/>
      <w:bookmarkEnd w:id="60"/>
      <w:bookmarkEnd w:id="61"/>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二、事业收入：</w:t>
      </w:r>
      <w:r>
        <w:rPr>
          <w:rFonts w:hint="eastAsia" w:ascii="仿宋_GB2312" w:eastAsia="仿宋_GB2312"/>
          <w:sz w:val="32"/>
          <w:szCs w:val="32"/>
        </w:rPr>
        <w:t>指事业单位开展专业业务活动及其辅助活动取得的收入。</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三、经营收入：</w:t>
      </w:r>
      <w:r>
        <w:rPr>
          <w:rFonts w:hint="eastAsia" w:ascii="仿宋_GB2312" w:eastAsia="仿宋_GB2312"/>
          <w:sz w:val="32"/>
          <w:szCs w:val="32"/>
        </w:rPr>
        <w:t>指事业单位在专业业务活动及其辅助活动之外开展非独立核算经营活动取得的收入。</w:t>
      </w:r>
    </w:p>
    <w:p>
      <w:pPr>
        <w:spacing w:line="560" w:lineRule="exact"/>
        <w:ind w:firstLine="630" w:firstLineChars="196"/>
        <w:rPr>
          <w:rFonts w:ascii="仿宋_GB2312" w:eastAsia="仿宋_GB2312"/>
          <w:sz w:val="32"/>
          <w:szCs w:val="32"/>
        </w:rPr>
      </w:pPr>
      <w:r>
        <w:rPr>
          <w:rFonts w:hint="eastAsia" w:ascii="仿宋_GB2312" w:eastAsia="仿宋_GB2312"/>
          <w:b/>
          <w:bCs/>
          <w:sz w:val="32"/>
          <w:szCs w:val="32"/>
        </w:rPr>
        <w:t>四、</w:t>
      </w:r>
      <w:r>
        <w:rPr>
          <w:rFonts w:hint="eastAsia" w:ascii="仿宋_GB2312" w:eastAsia="仿宋_GB2312"/>
          <w:b/>
          <w:sz w:val="32"/>
          <w:szCs w:val="32"/>
        </w:rPr>
        <w:t>其他收入：</w:t>
      </w:r>
      <w:r>
        <w:rPr>
          <w:rFonts w:hint="eastAsia" w:ascii="仿宋_GB2312" w:eastAsia="仿宋_GB2312"/>
          <w:sz w:val="32"/>
          <w:szCs w:val="32"/>
        </w:rPr>
        <w:t>指除上述“一般公共预算财政拨款收入”、“事业收入”、“经营收入”等以外的收入，主要是非本级财政拨款收入、存款利息收入等。</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五、年初结转和结余：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六、社会保障和就业支出（类）行政事业单位养老支出（款）行政单位离退休（项）：</w:t>
      </w:r>
      <w:r>
        <w:rPr>
          <w:rFonts w:hint="eastAsia" w:ascii="仿宋_GB2312" w:eastAsia="仿宋_GB2312"/>
          <w:sz w:val="32"/>
          <w:szCs w:val="32"/>
        </w:rPr>
        <w:t>反映</w:t>
      </w:r>
      <w:r>
        <w:rPr>
          <w:rFonts w:hint="eastAsia" w:ascii="仿宋_GB2312" w:eastAsia="仿宋_GB2312"/>
          <w:sz w:val="32"/>
          <w:szCs w:val="32"/>
          <w:lang w:eastAsia="zh-CN"/>
        </w:rPr>
        <w:t>陕西</w:t>
      </w:r>
      <w:r>
        <w:rPr>
          <w:rFonts w:hint="eastAsia" w:ascii="仿宋_GB2312" w:eastAsia="仿宋_GB2312"/>
          <w:sz w:val="32"/>
          <w:szCs w:val="32"/>
        </w:rPr>
        <w:t>省通信管理局退休人员的支出。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七、社会保障和就业支出（类）行政事业单位养老支出（款）机关事业单位基本养老保险缴费支出（项）：</w:t>
      </w:r>
      <w:r>
        <w:rPr>
          <w:rFonts w:hint="eastAsia" w:ascii="仿宋_GB2312" w:eastAsia="仿宋_GB2312"/>
          <w:bCs/>
          <w:sz w:val="32"/>
          <w:szCs w:val="32"/>
        </w:rPr>
        <w:t>反映机关事业单位实施养老保险制度由单位缴纳的基本养老保险费支出。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八、社会保障和就业支出（类）行政事业单位养老支出（款）机关事业单位职业年金缴费支出（项）：</w:t>
      </w:r>
      <w:r>
        <w:rPr>
          <w:rFonts w:hint="eastAsia" w:ascii="仿宋_GB2312" w:eastAsia="仿宋_GB2312"/>
          <w:bCs/>
          <w:sz w:val="32"/>
          <w:szCs w:val="32"/>
        </w:rPr>
        <w:t>反映机关事业单位实施养老保险制度由单位缴纳的职业年金支出。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九、卫生健康支出（类）行政事业单位医疗（款）行政单位医疗（项）：</w:t>
      </w:r>
      <w:r>
        <w:rPr>
          <w:rFonts w:hint="eastAsia" w:ascii="仿宋_GB2312" w:eastAsia="仿宋_GB2312"/>
          <w:bCs/>
          <w:sz w:val="32"/>
          <w:szCs w:val="32"/>
        </w:rPr>
        <w:t>反映中央财政集中安排给各省、市、自治区、直辖市通信管理局的基本医疗保险缴费经费和公务员医疗补助经费。</w:t>
      </w:r>
    </w:p>
    <w:p>
      <w:pPr>
        <w:spacing w:line="560" w:lineRule="exact"/>
        <w:ind w:firstLine="630" w:firstLineChars="196"/>
        <w:rPr>
          <w:rFonts w:ascii="仿宋_GB2312" w:eastAsia="仿宋_GB2312"/>
          <w:b/>
          <w:sz w:val="32"/>
          <w:szCs w:val="32"/>
        </w:rPr>
      </w:pPr>
      <w:r>
        <w:rPr>
          <w:rFonts w:hint="eastAsia" w:ascii="仿宋_GB2312" w:eastAsia="仿宋_GB2312"/>
          <w:b/>
          <w:sz w:val="32"/>
          <w:szCs w:val="32"/>
        </w:rPr>
        <w:t>十、</w:t>
      </w:r>
      <w:r>
        <w:rPr>
          <w:rFonts w:hint="eastAsia" w:ascii="仿宋_GB2312" w:hAnsi="Times New Roman" w:eastAsia="仿宋_GB2312" w:cs="Times New Roman"/>
          <w:b/>
          <w:color w:val="000000"/>
          <w:sz w:val="32"/>
        </w:rPr>
        <w:t>资源勘探工业信息等支出（类）工业和信息产业监管（款）</w:t>
      </w:r>
      <w:r>
        <w:rPr>
          <w:rFonts w:hint="eastAsia" w:ascii="仿宋_GB2312" w:eastAsia="仿宋_GB2312"/>
          <w:b/>
          <w:sz w:val="32"/>
          <w:szCs w:val="32"/>
        </w:rPr>
        <w:t>：</w:t>
      </w:r>
      <w:r>
        <w:rPr>
          <w:rFonts w:hint="eastAsia" w:ascii="仿宋_GB2312" w:eastAsia="仿宋_GB2312"/>
          <w:bCs/>
          <w:sz w:val="32"/>
          <w:szCs w:val="32"/>
        </w:rPr>
        <w:t>反映</w:t>
      </w:r>
      <w:r>
        <w:rPr>
          <w:rFonts w:hint="eastAsia" w:ascii="仿宋_GB2312" w:eastAsia="仿宋_GB2312"/>
          <w:bCs/>
          <w:sz w:val="32"/>
          <w:szCs w:val="32"/>
          <w:lang w:eastAsia="zh-CN"/>
        </w:rPr>
        <w:t>陕西</w:t>
      </w:r>
      <w:r>
        <w:rPr>
          <w:rFonts w:hint="eastAsia" w:ascii="仿宋_GB2312" w:eastAsia="仿宋_GB2312"/>
          <w:bCs/>
          <w:sz w:val="32"/>
          <w:szCs w:val="32"/>
        </w:rPr>
        <w:t>省通信管理局用于保障机构运行、开展工业和信息产业监管工作的支出。</w:t>
      </w:r>
    </w:p>
    <w:p>
      <w:pPr>
        <w:spacing w:line="560" w:lineRule="exact"/>
        <w:ind w:firstLine="630" w:firstLineChars="196"/>
        <w:rPr>
          <w:rFonts w:ascii="仿宋_GB2312" w:eastAsia="仿宋_GB2312"/>
          <w:bCs/>
          <w:sz w:val="32"/>
          <w:szCs w:val="32"/>
        </w:rPr>
      </w:pPr>
      <w:r>
        <w:rPr>
          <w:rFonts w:hint="eastAsia" w:ascii="仿宋_GB2312" w:eastAsia="仿宋_GB2312"/>
          <w:b/>
          <w:sz w:val="32"/>
          <w:szCs w:val="32"/>
        </w:rPr>
        <w:t>十一、住房保障支出（类）住房改革支出（款）住房公积金（项）：</w:t>
      </w:r>
      <w:r>
        <w:rPr>
          <w:rFonts w:hint="eastAsia" w:ascii="仿宋_GB2312" w:eastAsia="仿宋_GB2312"/>
          <w:bCs/>
          <w:sz w:val="32"/>
          <w:szCs w:val="32"/>
        </w:rPr>
        <w:t>反映</w:t>
      </w:r>
      <w:r>
        <w:rPr>
          <w:rFonts w:hint="eastAsia" w:ascii="仿宋_GB2312" w:eastAsia="仿宋_GB2312"/>
          <w:bCs/>
          <w:sz w:val="32"/>
          <w:szCs w:val="32"/>
          <w:lang w:eastAsia="zh-CN"/>
        </w:rPr>
        <w:t>陕西</w:t>
      </w:r>
      <w:r>
        <w:rPr>
          <w:rFonts w:hint="eastAsia" w:ascii="仿宋_GB2312" w:eastAsia="仿宋_GB2312"/>
          <w:bCs/>
          <w:sz w:val="32"/>
          <w:szCs w:val="32"/>
        </w:rPr>
        <w:t>省通信管理局按人力资源和社会保障部、工业和信息化部规定的基本工资和津补贴以及规定比例为职工缴纳的住房公积金</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十二、住房保障支出（类）住房改革支出（款）购房补贴（项）：</w:t>
      </w:r>
      <w:r>
        <w:rPr>
          <w:rFonts w:hint="eastAsia" w:ascii="仿宋_GB2312" w:eastAsia="仿宋_GB2312"/>
          <w:bCs/>
          <w:sz w:val="32"/>
          <w:szCs w:val="32"/>
        </w:rPr>
        <w:t>反映按房改政策规定，行政事业单位向符合条件职工发放的购房补贴资金。</w:t>
      </w:r>
    </w:p>
    <w:p>
      <w:pPr>
        <w:spacing w:line="560" w:lineRule="exact"/>
        <w:ind w:firstLine="630" w:firstLineChars="196"/>
        <w:rPr>
          <w:rFonts w:ascii="仿宋_GB2312" w:eastAsia="仿宋_GB2312"/>
          <w:b/>
          <w:bCs/>
          <w:sz w:val="32"/>
          <w:szCs w:val="32"/>
        </w:rPr>
      </w:pPr>
      <w:r>
        <w:rPr>
          <w:rFonts w:hint="eastAsia" w:ascii="仿宋_GB2312" w:eastAsia="仿宋_GB2312"/>
          <w:b/>
          <w:sz w:val="32"/>
          <w:szCs w:val="32"/>
        </w:rPr>
        <w:t>十三、</w:t>
      </w:r>
      <w:r>
        <w:rPr>
          <w:rFonts w:hint="eastAsia" w:ascii="仿宋_GB2312" w:eastAsia="仿宋_GB2312"/>
          <w:b/>
          <w:bCs/>
          <w:sz w:val="32"/>
          <w:szCs w:val="32"/>
        </w:rPr>
        <w:t>结余分配：</w:t>
      </w:r>
      <w:r>
        <w:rPr>
          <w:rFonts w:hint="eastAsia" w:ascii="仿宋_GB2312" w:eastAsia="仿宋_GB2312"/>
          <w:sz w:val="32"/>
          <w:szCs w:val="32"/>
        </w:rPr>
        <w:t>指事业单位按照会计制度规定缴纳的所得税以及从非财政补助结余中提取的职工福利基金、事业基金等。</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十四、年末结转和结余：</w:t>
      </w:r>
      <w:r>
        <w:rPr>
          <w:rFonts w:hint="eastAsia" w:ascii="仿宋_GB2312" w:eastAsia="仿宋_GB2312"/>
          <w:sz w:val="32"/>
          <w:szCs w:val="32"/>
        </w:rPr>
        <w:t>指单位按有关规定结转到下年或以后年度继续使用的资金。</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十五、基本支出：</w:t>
      </w:r>
      <w:r>
        <w:rPr>
          <w:rFonts w:hint="eastAsia" w:ascii="仿宋_GB2312" w:eastAsia="仿宋_GB2312"/>
          <w:sz w:val="32"/>
          <w:szCs w:val="32"/>
        </w:rPr>
        <w:t>指为保障机构正常运转、完成日常工作任务而发生的人员支出和公用支出。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十六、项目支出：</w:t>
      </w:r>
      <w:r>
        <w:rPr>
          <w:rFonts w:hint="eastAsia" w:ascii="仿宋_GB2312" w:eastAsia="仿宋_GB2312"/>
          <w:sz w:val="32"/>
          <w:szCs w:val="32"/>
        </w:rPr>
        <w:t>指在基本支出之外为完成特定行政任务和事业发展目标所发生的支出。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十七、经营支出：</w:t>
      </w:r>
      <w:r>
        <w:rPr>
          <w:rFonts w:hint="eastAsia" w:ascii="仿宋_GB2312" w:eastAsia="仿宋_GB2312"/>
          <w:sz w:val="32"/>
          <w:szCs w:val="32"/>
        </w:rPr>
        <w:t>指事业单位在专业业务活动及其辅助活动之外开展非独立核算经营活动发生的支出。</w:t>
      </w:r>
    </w:p>
    <w:p>
      <w:pPr>
        <w:spacing w:line="560" w:lineRule="exact"/>
        <w:ind w:firstLine="630" w:firstLineChars="196"/>
        <w:rPr>
          <w:rFonts w:ascii="仿宋_GB2312" w:eastAsia="仿宋_GB2312"/>
          <w:sz w:val="32"/>
          <w:szCs w:val="32"/>
        </w:rPr>
      </w:pPr>
      <w:r>
        <w:rPr>
          <w:rFonts w:hint="eastAsia" w:ascii="仿宋_GB2312" w:eastAsia="仿宋_GB2312"/>
          <w:b/>
          <w:sz w:val="32"/>
          <w:szCs w:val="32"/>
        </w:rPr>
        <w:t>十八、“三公”经费：</w:t>
      </w:r>
      <w:r>
        <w:rPr>
          <w:rFonts w:hint="eastAsia" w:ascii="仿宋_GB2312" w:eastAsia="仿宋_GB2312"/>
          <w:sz w:val="32"/>
          <w:szCs w:val="32"/>
        </w:rPr>
        <w:t>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支出。</w:t>
      </w:r>
    </w:p>
    <w:p>
      <w:pPr>
        <w:spacing w:line="560" w:lineRule="exact"/>
        <w:rPr>
          <w:rFonts w:ascii="仿宋_GB2312" w:eastAsia="仿宋_GB2312"/>
          <w:b/>
          <w:bCs/>
          <w:color w:val="000000"/>
          <w:sz w:val="32"/>
          <w:szCs w:val="32"/>
        </w:rPr>
      </w:pPr>
      <w:r>
        <w:rPr>
          <w:rFonts w:hint="eastAsia" w:ascii="仿宋_GB2312" w:eastAsia="仿宋_GB2312"/>
          <w:b/>
          <w:sz w:val="32"/>
          <w:szCs w:val="32"/>
        </w:rPr>
        <w:t xml:space="preserve">    十九、机关运行经费：</w:t>
      </w:r>
      <w:r>
        <w:rPr>
          <w:rFonts w:hint="eastAsia" w:ascii="仿宋_GB2312" w:eastAsia="仿宋_GB231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_GB2312" w:eastAsia="仿宋_GB2312" w:cs="Times New Roman"/>
          <w:sz w:val="32"/>
          <w:szCs w:val="32"/>
        </w:rPr>
      </w:pPr>
    </w:p>
    <w:sectPr>
      <w:pgSz w:w="16838" w:h="11906" w:orient="landscape"/>
      <w:pgMar w:top="880" w:right="1440" w:bottom="122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864866"/>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DE376"/>
    <w:multiLevelType w:val="singleLevel"/>
    <w:tmpl w:val="5A1DE37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1YzdkOGYzMzFjZDExZjQzY2I3NDhhMDdkMmJiZjYifQ=="/>
  </w:docVars>
  <w:rsids>
    <w:rsidRoot w:val="00413094"/>
    <w:rsid w:val="000036CE"/>
    <w:rsid w:val="000052A8"/>
    <w:rsid w:val="00014323"/>
    <w:rsid w:val="000160F1"/>
    <w:rsid w:val="000177E8"/>
    <w:rsid w:val="000200C8"/>
    <w:rsid w:val="0002152D"/>
    <w:rsid w:val="0002696D"/>
    <w:rsid w:val="00036DE0"/>
    <w:rsid w:val="00057FD3"/>
    <w:rsid w:val="0007199B"/>
    <w:rsid w:val="00074552"/>
    <w:rsid w:val="00086484"/>
    <w:rsid w:val="00086DE5"/>
    <w:rsid w:val="0009245E"/>
    <w:rsid w:val="0009369C"/>
    <w:rsid w:val="00093BE8"/>
    <w:rsid w:val="00096825"/>
    <w:rsid w:val="000A3F55"/>
    <w:rsid w:val="000A54D2"/>
    <w:rsid w:val="000B12C2"/>
    <w:rsid w:val="000B2F5F"/>
    <w:rsid w:val="000C2DE9"/>
    <w:rsid w:val="000E395C"/>
    <w:rsid w:val="000F08E6"/>
    <w:rsid w:val="000F38CE"/>
    <w:rsid w:val="00103D8D"/>
    <w:rsid w:val="0010503A"/>
    <w:rsid w:val="00112CF9"/>
    <w:rsid w:val="00143172"/>
    <w:rsid w:val="001451E0"/>
    <w:rsid w:val="00153742"/>
    <w:rsid w:val="001576CF"/>
    <w:rsid w:val="00164057"/>
    <w:rsid w:val="001650C6"/>
    <w:rsid w:val="00165B75"/>
    <w:rsid w:val="001667BA"/>
    <w:rsid w:val="0018221C"/>
    <w:rsid w:val="001907C5"/>
    <w:rsid w:val="001A1299"/>
    <w:rsid w:val="001A39F1"/>
    <w:rsid w:val="001B6081"/>
    <w:rsid w:val="001C119D"/>
    <w:rsid w:val="001E27CE"/>
    <w:rsid w:val="001E56FC"/>
    <w:rsid w:val="001F2AEE"/>
    <w:rsid w:val="001F7422"/>
    <w:rsid w:val="001F74C7"/>
    <w:rsid w:val="0020572B"/>
    <w:rsid w:val="002301E9"/>
    <w:rsid w:val="00271A0F"/>
    <w:rsid w:val="0028197A"/>
    <w:rsid w:val="0028303F"/>
    <w:rsid w:val="002973AD"/>
    <w:rsid w:val="002A2325"/>
    <w:rsid w:val="002A37CC"/>
    <w:rsid w:val="002A3D50"/>
    <w:rsid w:val="002B5481"/>
    <w:rsid w:val="002C25D5"/>
    <w:rsid w:val="002C7142"/>
    <w:rsid w:val="002D083B"/>
    <w:rsid w:val="002E347F"/>
    <w:rsid w:val="002F59D2"/>
    <w:rsid w:val="003067CD"/>
    <w:rsid w:val="00320646"/>
    <w:rsid w:val="00324704"/>
    <w:rsid w:val="00324968"/>
    <w:rsid w:val="003475E2"/>
    <w:rsid w:val="00353DA9"/>
    <w:rsid w:val="003559ED"/>
    <w:rsid w:val="003568AA"/>
    <w:rsid w:val="0037710F"/>
    <w:rsid w:val="00377B76"/>
    <w:rsid w:val="003A011D"/>
    <w:rsid w:val="003B090D"/>
    <w:rsid w:val="003F6BF3"/>
    <w:rsid w:val="00403BD7"/>
    <w:rsid w:val="00413094"/>
    <w:rsid w:val="00431BA8"/>
    <w:rsid w:val="00432EC9"/>
    <w:rsid w:val="00440E91"/>
    <w:rsid w:val="00441ABA"/>
    <w:rsid w:val="004475DC"/>
    <w:rsid w:val="00447F01"/>
    <w:rsid w:val="00452FF5"/>
    <w:rsid w:val="004557E5"/>
    <w:rsid w:val="004637EF"/>
    <w:rsid w:val="00477823"/>
    <w:rsid w:val="004976D3"/>
    <w:rsid w:val="004A225B"/>
    <w:rsid w:val="004A5BFC"/>
    <w:rsid w:val="004B3CCB"/>
    <w:rsid w:val="004F1620"/>
    <w:rsid w:val="0050747E"/>
    <w:rsid w:val="00507ACE"/>
    <w:rsid w:val="00511304"/>
    <w:rsid w:val="00517E43"/>
    <w:rsid w:val="0052266F"/>
    <w:rsid w:val="005238AC"/>
    <w:rsid w:val="00523E7E"/>
    <w:rsid w:val="00525C56"/>
    <w:rsid w:val="00545928"/>
    <w:rsid w:val="005466BE"/>
    <w:rsid w:val="00571526"/>
    <w:rsid w:val="005747DB"/>
    <w:rsid w:val="00594231"/>
    <w:rsid w:val="005964A4"/>
    <w:rsid w:val="005B299E"/>
    <w:rsid w:val="005D18A8"/>
    <w:rsid w:val="005D303F"/>
    <w:rsid w:val="005D6547"/>
    <w:rsid w:val="005E642F"/>
    <w:rsid w:val="005F6DDC"/>
    <w:rsid w:val="005F6E51"/>
    <w:rsid w:val="00601D56"/>
    <w:rsid w:val="00616459"/>
    <w:rsid w:val="006229FC"/>
    <w:rsid w:val="0062345D"/>
    <w:rsid w:val="00626945"/>
    <w:rsid w:val="006321DB"/>
    <w:rsid w:val="006324C9"/>
    <w:rsid w:val="00653BCB"/>
    <w:rsid w:val="00660A31"/>
    <w:rsid w:val="00682608"/>
    <w:rsid w:val="00683EF4"/>
    <w:rsid w:val="00687F51"/>
    <w:rsid w:val="006948EC"/>
    <w:rsid w:val="006A2751"/>
    <w:rsid w:val="006B17DD"/>
    <w:rsid w:val="006B2E62"/>
    <w:rsid w:val="006C57A1"/>
    <w:rsid w:val="006D1857"/>
    <w:rsid w:val="006D18C2"/>
    <w:rsid w:val="006E0673"/>
    <w:rsid w:val="006E4374"/>
    <w:rsid w:val="006E67A7"/>
    <w:rsid w:val="00701915"/>
    <w:rsid w:val="00723FA9"/>
    <w:rsid w:val="007249D5"/>
    <w:rsid w:val="00726A99"/>
    <w:rsid w:val="00731065"/>
    <w:rsid w:val="00732EE3"/>
    <w:rsid w:val="00743717"/>
    <w:rsid w:val="00747FDE"/>
    <w:rsid w:val="007656C1"/>
    <w:rsid w:val="0078545B"/>
    <w:rsid w:val="007917FF"/>
    <w:rsid w:val="00791968"/>
    <w:rsid w:val="00794EEF"/>
    <w:rsid w:val="007A3425"/>
    <w:rsid w:val="007B0A24"/>
    <w:rsid w:val="007B0EE1"/>
    <w:rsid w:val="007B3D69"/>
    <w:rsid w:val="007E6C61"/>
    <w:rsid w:val="007E7562"/>
    <w:rsid w:val="00804673"/>
    <w:rsid w:val="00811A2E"/>
    <w:rsid w:val="00812234"/>
    <w:rsid w:val="00812772"/>
    <w:rsid w:val="00817081"/>
    <w:rsid w:val="00822084"/>
    <w:rsid w:val="0082222C"/>
    <w:rsid w:val="00846B76"/>
    <w:rsid w:val="00847473"/>
    <w:rsid w:val="00861435"/>
    <w:rsid w:val="008647EF"/>
    <w:rsid w:val="00881799"/>
    <w:rsid w:val="008845E8"/>
    <w:rsid w:val="008848FD"/>
    <w:rsid w:val="00884E66"/>
    <w:rsid w:val="00891956"/>
    <w:rsid w:val="008927A2"/>
    <w:rsid w:val="0089657F"/>
    <w:rsid w:val="008A7A90"/>
    <w:rsid w:val="008B0A2D"/>
    <w:rsid w:val="008B21E6"/>
    <w:rsid w:val="008C26BD"/>
    <w:rsid w:val="008D406B"/>
    <w:rsid w:val="008D6FC4"/>
    <w:rsid w:val="008E308B"/>
    <w:rsid w:val="008E3330"/>
    <w:rsid w:val="008E6EAB"/>
    <w:rsid w:val="008F460C"/>
    <w:rsid w:val="00905BE4"/>
    <w:rsid w:val="0091090C"/>
    <w:rsid w:val="00914842"/>
    <w:rsid w:val="009169F5"/>
    <w:rsid w:val="009249C8"/>
    <w:rsid w:val="009362E5"/>
    <w:rsid w:val="0094439C"/>
    <w:rsid w:val="00945C75"/>
    <w:rsid w:val="009703A3"/>
    <w:rsid w:val="00972927"/>
    <w:rsid w:val="0098026E"/>
    <w:rsid w:val="0098319E"/>
    <w:rsid w:val="0099271B"/>
    <w:rsid w:val="00994BA2"/>
    <w:rsid w:val="009A48EB"/>
    <w:rsid w:val="009A7043"/>
    <w:rsid w:val="009B264F"/>
    <w:rsid w:val="009B7310"/>
    <w:rsid w:val="009C04D8"/>
    <w:rsid w:val="009C1145"/>
    <w:rsid w:val="009E410A"/>
    <w:rsid w:val="009E68E4"/>
    <w:rsid w:val="009E6AB1"/>
    <w:rsid w:val="009F02B5"/>
    <w:rsid w:val="00A00E78"/>
    <w:rsid w:val="00A06303"/>
    <w:rsid w:val="00A07177"/>
    <w:rsid w:val="00A1370D"/>
    <w:rsid w:val="00A32A92"/>
    <w:rsid w:val="00A42075"/>
    <w:rsid w:val="00A43C97"/>
    <w:rsid w:val="00A46252"/>
    <w:rsid w:val="00A56F35"/>
    <w:rsid w:val="00A73E23"/>
    <w:rsid w:val="00A82713"/>
    <w:rsid w:val="00A90716"/>
    <w:rsid w:val="00A948FF"/>
    <w:rsid w:val="00AA64EB"/>
    <w:rsid w:val="00AB70AD"/>
    <w:rsid w:val="00AC46DB"/>
    <w:rsid w:val="00AD00BE"/>
    <w:rsid w:val="00AD6FAE"/>
    <w:rsid w:val="00AE01B0"/>
    <w:rsid w:val="00AF33C3"/>
    <w:rsid w:val="00AF56F6"/>
    <w:rsid w:val="00B004A5"/>
    <w:rsid w:val="00B00BCC"/>
    <w:rsid w:val="00B118C0"/>
    <w:rsid w:val="00B21B64"/>
    <w:rsid w:val="00B35F1E"/>
    <w:rsid w:val="00B66C05"/>
    <w:rsid w:val="00B82FC1"/>
    <w:rsid w:val="00B84740"/>
    <w:rsid w:val="00B8512E"/>
    <w:rsid w:val="00B96886"/>
    <w:rsid w:val="00BB11F5"/>
    <w:rsid w:val="00BD77FD"/>
    <w:rsid w:val="00BE00F5"/>
    <w:rsid w:val="00BE155D"/>
    <w:rsid w:val="00BE51FD"/>
    <w:rsid w:val="00BF10E6"/>
    <w:rsid w:val="00BF5F9C"/>
    <w:rsid w:val="00C30D88"/>
    <w:rsid w:val="00C3641B"/>
    <w:rsid w:val="00C46422"/>
    <w:rsid w:val="00C47BA4"/>
    <w:rsid w:val="00C53583"/>
    <w:rsid w:val="00C54F73"/>
    <w:rsid w:val="00C57620"/>
    <w:rsid w:val="00C576A8"/>
    <w:rsid w:val="00C64EFF"/>
    <w:rsid w:val="00C77F97"/>
    <w:rsid w:val="00C82DBB"/>
    <w:rsid w:val="00CB6CC2"/>
    <w:rsid w:val="00CC69C6"/>
    <w:rsid w:val="00CD271A"/>
    <w:rsid w:val="00CD6EA3"/>
    <w:rsid w:val="00D31024"/>
    <w:rsid w:val="00D37802"/>
    <w:rsid w:val="00D403E4"/>
    <w:rsid w:val="00D4512B"/>
    <w:rsid w:val="00D51845"/>
    <w:rsid w:val="00D52364"/>
    <w:rsid w:val="00D541E9"/>
    <w:rsid w:val="00D63DFC"/>
    <w:rsid w:val="00D65D37"/>
    <w:rsid w:val="00D67F7B"/>
    <w:rsid w:val="00D720E4"/>
    <w:rsid w:val="00D76A22"/>
    <w:rsid w:val="00D80A51"/>
    <w:rsid w:val="00DA5246"/>
    <w:rsid w:val="00DA6065"/>
    <w:rsid w:val="00DB349F"/>
    <w:rsid w:val="00DB4261"/>
    <w:rsid w:val="00DC7ACE"/>
    <w:rsid w:val="00DD7A0D"/>
    <w:rsid w:val="00DE0A05"/>
    <w:rsid w:val="00DE1B7A"/>
    <w:rsid w:val="00DF0507"/>
    <w:rsid w:val="00DF136C"/>
    <w:rsid w:val="00E00EF4"/>
    <w:rsid w:val="00E05454"/>
    <w:rsid w:val="00E24FB7"/>
    <w:rsid w:val="00E53763"/>
    <w:rsid w:val="00E5574F"/>
    <w:rsid w:val="00E645E4"/>
    <w:rsid w:val="00E6541D"/>
    <w:rsid w:val="00E66B3B"/>
    <w:rsid w:val="00E821A1"/>
    <w:rsid w:val="00EA38B8"/>
    <w:rsid w:val="00EB6887"/>
    <w:rsid w:val="00EC7D5B"/>
    <w:rsid w:val="00EE4A1F"/>
    <w:rsid w:val="00EE5CDC"/>
    <w:rsid w:val="00EF2D62"/>
    <w:rsid w:val="00F0271B"/>
    <w:rsid w:val="00F17804"/>
    <w:rsid w:val="00F21BD7"/>
    <w:rsid w:val="00F27183"/>
    <w:rsid w:val="00F30A72"/>
    <w:rsid w:val="00F46B61"/>
    <w:rsid w:val="00F46CD8"/>
    <w:rsid w:val="00F63F27"/>
    <w:rsid w:val="00FB1D72"/>
    <w:rsid w:val="00FC1C61"/>
    <w:rsid w:val="00FE13BC"/>
    <w:rsid w:val="00FE6134"/>
    <w:rsid w:val="00FF02FB"/>
    <w:rsid w:val="00FF5102"/>
    <w:rsid w:val="00FF5F94"/>
    <w:rsid w:val="00FF7F6C"/>
    <w:rsid w:val="06E2654F"/>
    <w:rsid w:val="06F554D7"/>
    <w:rsid w:val="09947F10"/>
    <w:rsid w:val="0ADD2517"/>
    <w:rsid w:val="0B4D3BDD"/>
    <w:rsid w:val="0F3D04B9"/>
    <w:rsid w:val="16905EB4"/>
    <w:rsid w:val="16E57325"/>
    <w:rsid w:val="171B6052"/>
    <w:rsid w:val="18E8103F"/>
    <w:rsid w:val="1C3E7523"/>
    <w:rsid w:val="1CF409B8"/>
    <w:rsid w:val="1D0348EF"/>
    <w:rsid w:val="1D133D38"/>
    <w:rsid w:val="1F9951FF"/>
    <w:rsid w:val="25557874"/>
    <w:rsid w:val="28833199"/>
    <w:rsid w:val="2B0C24FF"/>
    <w:rsid w:val="2E4A7676"/>
    <w:rsid w:val="2F544722"/>
    <w:rsid w:val="304F5EF8"/>
    <w:rsid w:val="31B729B0"/>
    <w:rsid w:val="31CA1872"/>
    <w:rsid w:val="33FC540B"/>
    <w:rsid w:val="35A46460"/>
    <w:rsid w:val="388A3349"/>
    <w:rsid w:val="421F33D1"/>
    <w:rsid w:val="43136DCA"/>
    <w:rsid w:val="43370708"/>
    <w:rsid w:val="44EC6246"/>
    <w:rsid w:val="458E74C6"/>
    <w:rsid w:val="483A62B7"/>
    <w:rsid w:val="48FB35FD"/>
    <w:rsid w:val="4E8A550C"/>
    <w:rsid w:val="54E55E65"/>
    <w:rsid w:val="641E704E"/>
    <w:rsid w:val="6CA9331D"/>
    <w:rsid w:val="776B47F9"/>
    <w:rsid w:val="79201A1B"/>
    <w:rsid w:val="79ED6F70"/>
    <w:rsid w:val="7B1261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1"/>
    <w:qFormat/>
    <w:uiPriority w:val="0"/>
    <w:pPr>
      <w:keepNext/>
      <w:keepLines/>
      <w:ind w:firstLine="640" w:firstLineChars="200"/>
      <w:jc w:val="left"/>
      <w:outlineLvl w:val="1"/>
    </w:pPr>
    <w:rPr>
      <w:rFonts w:ascii="Arial" w:hAnsi="Arial" w:eastAsia="黑体" w:cs="Times New Roman"/>
      <w:sz w:val="32"/>
      <w:szCs w:val="20"/>
    </w:rPr>
  </w:style>
  <w:style w:type="paragraph" w:styleId="5">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2">
    <w:name w:val="heading 4"/>
    <w:basedOn w:val="1"/>
    <w:next w:val="1"/>
    <w:unhideWhenUsed/>
    <w:qFormat/>
    <w:uiPriority w:val="9"/>
    <w:pPr>
      <w:keepNext/>
      <w:keepLines/>
      <w:spacing w:before="280" w:after="290" w:line="376" w:lineRule="auto"/>
      <w:outlineLvl w:val="3"/>
    </w:pPr>
    <w:rPr>
      <w:rFonts w:ascii="等线 Light" w:hAnsi="等线 Light" w:eastAsia="等线 Light"/>
      <w:b/>
      <w:bCs/>
      <w:szCs w:val="28"/>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6">
    <w:name w:val="toc 3"/>
    <w:basedOn w:val="1"/>
    <w:next w:val="1"/>
    <w:unhideWhenUsed/>
    <w:qFormat/>
    <w:uiPriority w:val="39"/>
    <w:pPr>
      <w:ind w:left="840" w:leftChars="400"/>
    </w:p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tabs>
        <w:tab w:val="right" w:leader="dot" w:pos="9736"/>
      </w:tabs>
      <w:spacing w:after="100" w:line="380" w:lineRule="exact"/>
      <w:jc w:val="left"/>
    </w:pPr>
    <w:rPr>
      <w:kern w:val="0"/>
      <w:sz w:val="22"/>
    </w:rPr>
  </w:style>
  <w:style w:type="paragraph" w:styleId="11">
    <w:name w:val="toc 2"/>
    <w:basedOn w:val="1"/>
    <w:next w:val="1"/>
    <w:unhideWhenUsed/>
    <w:qFormat/>
    <w:uiPriority w:val="39"/>
    <w:pPr>
      <w:ind w:left="420" w:leftChars="200"/>
    </w:p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customStyle="1" w:styleId="16">
    <w:name w:val="页眉 Char"/>
    <w:basedOn w:val="14"/>
    <w:link w:val="9"/>
    <w:semiHidden/>
    <w:qFormat/>
    <w:uiPriority w:val="99"/>
    <w:rPr>
      <w:sz w:val="18"/>
      <w:szCs w:val="18"/>
    </w:rPr>
  </w:style>
  <w:style w:type="character" w:customStyle="1" w:styleId="17">
    <w:name w:val="页脚 Char"/>
    <w:basedOn w:val="14"/>
    <w:link w:val="8"/>
    <w:qFormat/>
    <w:uiPriority w:val="99"/>
    <w:rPr>
      <w:sz w:val="18"/>
      <w:szCs w:val="18"/>
    </w:rPr>
  </w:style>
  <w:style w:type="paragraph" w:customStyle="1" w:styleId="18">
    <w:name w:val="普通(网站)1"/>
    <w:basedOn w:val="1"/>
    <w:qFormat/>
    <w:uiPriority w:val="0"/>
    <w:pPr>
      <w:spacing w:beforeAutospacing="1" w:afterAutospacing="1"/>
      <w:jc w:val="left"/>
    </w:pPr>
    <w:rPr>
      <w:rFonts w:ascii="Calibri" w:hAnsi="Calibri" w:eastAsia="宋体" w:cs="黑体"/>
      <w:kern w:val="0"/>
      <w:sz w:val="24"/>
      <w:szCs w:val="24"/>
    </w:rPr>
  </w:style>
  <w:style w:type="character" w:customStyle="1" w:styleId="19">
    <w:name w:val="批注框文本 Char"/>
    <w:basedOn w:val="14"/>
    <w:link w:val="7"/>
    <w:semiHidden/>
    <w:qFormat/>
    <w:uiPriority w:val="99"/>
    <w:rPr>
      <w:sz w:val="18"/>
      <w:szCs w:val="18"/>
    </w:rPr>
  </w:style>
  <w:style w:type="paragraph" w:customStyle="1" w:styleId="20">
    <w:name w:val="Char Char Char Char Char Char Char"/>
    <w:basedOn w:val="1"/>
    <w:qFormat/>
    <w:uiPriority w:val="0"/>
    <w:rPr>
      <w:rFonts w:ascii="Times New Roman" w:hAnsi="Times New Roman" w:eastAsia="宋体" w:cs="Times New Roman"/>
      <w:szCs w:val="20"/>
    </w:rPr>
  </w:style>
  <w:style w:type="character" w:customStyle="1" w:styleId="21">
    <w:name w:val="标题 2 Char"/>
    <w:basedOn w:val="14"/>
    <w:link w:val="4"/>
    <w:qFormat/>
    <w:uiPriority w:val="0"/>
    <w:rPr>
      <w:rFonts w:ascii="Arial" w:hAnsi="Arial" w:eastAsia="黑体" w:cs="Times New Roman"/>
      <w:sz w:val="32"/>
      <w:szCs w:val="20"/>
    </w:rPr>
  </w:style>
  <w:style w:type="character" w:customStyle="1" w:styleId="22">
    <w:name w:val="标题 3 Char"/>
    <w:basedOn w:val="14"/>
    <w:link w:val="5"/>
    <w:qFormat/>
    <w:uiPriority w:val="9"/>
    <w:rPr>
      <w:b/>
      <w:bCs/>
      <w:sz w:val="32"/>
      <w:szCs w:val="32"/>
    </w:rPr>
  </w:style>
  <w:style w:type="character" w:customStyle="1" w:styleId="23">
    <w:name w:val="标题 1 Char"/>
    <w:basedOn w:val="14"/>
    <w:link w:val="3"/>
    <w:qFormat/>
    <w:uiPriority w:val="9"/>
    <w:rPr>
      <w:b/>
      <w:bCs/>
      <w:kern w:val="44"/>
      <w:sz w:val="44"/>
      <w:szCs w:val="44"/>
    </w:rPr>
  </w:style>
  <w:style w:type="paragraph" w:customStyle="1" w:styleId="24">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列1</c:v>
                </c:pt>
              </c:strCache>
            </c:strRef>
          </c:tx>
          <c:invertIfNegative val="0"/>
          <c:dPt>
            <c:idx val="0"/>
            <c:invertIfNegative val="0"/>
            <c:bubble3D val="0"/>
            <c:spPr>
              <a:solidFill>
                <a:srgbClr val="0070C0"/>
              </a:solidFill>
            </c:spPr>
          </c:dPt>
          <c:dPt>
            <c:idx val="1"/>
            <c:invertIfNegative val="0"/>
            <c:bubble3D val="0"/>
            <c:spPr>
              <a:solidFill>
                <a:schemeClr val="accent2"/>
              </a:solidFill>
            </c:spPr>
          </c:dPt>
          <c:dLbls>
            <c:dLbl>
              <c:idx val="0"/>
              <c:layout>
                <c:manualLayout>
                  <c:x val="0"/>
                  <c:y val="-0.29861541640834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804836963061"/>
                  <c:y val="-0.41016067589448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2752.1</c:v>
                </c:pt>
                <c:pt idx="1">
                  <c:v>3475.61</c:v>
                </c:pt>
              </c:numCache>
            </c:numRef>
          </c:val>
        </c:ser>
        <c:dLbls>
          <c:showLegendKey val="0"/>
          <c:showVal val="1"/>
          <c:showCatName val="0"/>
          <c:showSerName val="0"/>
          <c:showPercent val="0"/>
          <c:showBubbleSize val="0"/>
        </c:dLbls>
        <c:gapWidth val="150"/>
        <c:overlap val="100"/>
        <c:axId val="326144768"/>
        <c:axId val="329713536"/>
      </c:barChart>
      <c:catAx>
        <c:axId val="3261447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9713536"/>
        <c:crosses val="autoZero"/>
        <c:auto val="1"/>
        <c:lblAlgn val="ctr"/>
        <c:lblOffset val="100"/>
        <c:noMultiLvlLbl val="0"/>
      </c:catAx>
      <c:valAx>
        <c:axId val="329713536"/>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2614476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财政拨款收入</c:v>
                </c:pt>
                <c:pt idx="1">
                  <c:v>其他收入</c:v>
                </c:pt>
              </c:strCache>
            </c:strRef>
          </c:cat>
          <c:val>
            <c:numRef>
              <c:f>Sheet1!$B$2:$B$3</c:f>
              <c:numCache>
                <c:formatCode>0.00%</c:formatCode>
                <c:ptCount val="2"/>
                <c:pt idx="0">
                  <c:v>0.6187</c:v>
                </c:pt>
                <c:pt idx="1">
                  <c:v>0.3813</c:v>
                </c:pt>
              </c:numCache>
            </c:numRef>
          </c:val>
        </c:ser>
        <c:dLbls>
          <c:showLegendKey val="0"/>
          <c:showVal val="1"/>
          <c:showCatName val="1"/>
          <c:showSerName val="0"/>
          <c:showPercent val="0"/>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1949758008758"/>
          <c:y val="0.095365141187926"/>
          <c:w val="0.476100483982485"/>
          <c:h val="0.804595910418695"/>
        </c:manualLayout>
      </c:layout>
      <c:pieChart>
        <c:varyColors val="1"/>
        <c:ser>
          <c:idx val="0"/>
          <c:order val="0"/>
          <c:tx>
            <c:strRef>
              <c:f>Sheet1!$B$1</c:f>
              <c:strCache>
                <c:ptCount val="1"/>
                <c:pt idx="0">
                  <c:v>列1</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0.00%</c:formatCode>
                <c:ptCount val="2"/>
                <c:pt idx="0">
                  <c:v>0.2734</c:v>
                </c:pt>
                <c:pt idx="1">
                  <c:v>0.7266</c:v>
                </c:pt>
              </c:numCache>
            </c:numRef>
          </c:val>
        </c:ser>
        <c:dLbls>
          <c:showLegendKey val="0"/>
          <c:showVal val="1"/>
          <c:showCatName val="1"/>
          <c:showSerName val="0"/>
          <c:showPercent val="0"/>
          <c:showBubbleSize val="0"/>
          <c:showLeaderLines val="1"/>
        </c:dLbls>
        <c:firstSliceAng val="15"/>
      </c:pieChart>
      <c:spPr>
        <a:noFill/>
        <a:ln>
          <a:noFill/>
        </a:ln>
        <a:effectLst/>
      </c:spPr>
    </c:plotArea>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列1</c:v>
                </c:pt>
              </c:strCache>
            </c:strRef>
          </c:tx>
          <c:spPr>
            <a:solidFill>
              <a:schemeClr val="accent2"/>
            </a:solidFill>
          </c:spPr>
          <c:invertIfNegative val="0"/>
          <c:dPt>
            <c:idx val="0"/>
            <c:invertIfNegative val="0"/>
            <c:bubble3D val="0"/>
            <c:spPr>
              <a:solidFill>
                <a:srgbClr val="0070C0"/>
              </a:solidFill>
            </c:spPr>
          </c:dPt>
          <c:dLbls>
            <c:dLbl>
              <c:idx val="0"/>
              <c:layout>
                <c:manualLayout>
                  <c:x val="-0.00722573341421784"/>
                  <c:y val="-0.407906243740085"/>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19270143321691"/>
                  <c:y val="-0.377466328969336"/>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0.00_ </c:formatCode>
                <c:ptCount val="2"/>
                <c:pt idx="0">
                  <c:v>1809.18</c:v>
                </c:pt>
                <c:pt idx="1">
                  <c:v>1720.24</c:v>
                </c:pt>
              </c:numCache>
            </c:numRef>
          </c:val>
        </c:ser>
        <c:dLbls>
          <c:showLegendKey val="0"/>
          <c:showVal val="1"/>
          <c:showCatName val="0"/>
          <c:showSerName val="0"/>
          <c:showPercent val="0"/>
          <c:showBubbleSize val="0"/>
        </c:dLbls>
        <c:gapWidth val="150"/>
        <c:overlap val="100"/>
        <c:axId val="118272384"/>
        <c:axId val="118275456"/>
      </c:barChart>
      <c:catAx>
        <c:axId val="1182723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275456"/>
        <c:crosses val="autoZero"/>
        <c:auto val="1"/>
        <c:lblAlgn val="ctr"/>
        <c:lblOffset val="100"/>
        <c:noMultiLvlLbl val="0"/>
      </c:catAx>
      <c:valAx>
        <c:axId val="118275456"/>
        <c:scaling>
          <c:orientation val="minMax"/>
          <c:min val="1000"/>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272384"/>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系列 1</c:v>
                </c:pt>
              </c:strCache>
            </c:strRef>
          </c:tx>
          <c:invertIfNegative val="0"/>
          <c:dPt>
            <c:idx val="1"/>
            <c:invertIfNegative val="0"/>
            <c:bubble3D val="0"/>
            <c:spPr>
              <a:solidFill>
                <a:schemeClr val="accent2"/>
              </a:solidFill>
            </c:spPr>
          </c:dPt>
          <c:dLbls>
            <c:dLbl>
              <c:idx val="0"/>
              <c:layout>
                <c:manualLayout>
                  <c:x val="-0.00963356059433759"/>
                  <c:y val="-0.41651107438231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0102819094518657"/>
                  <c:y val="-0.284454252058699"/>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Sheet1!$A$2:$A$3</c:f>
              <c:strCache>
                <c:ptCount val="2"/>
                <c:pt idx="0">
                  <c:v>2021年</c:v>
                </c:pt>
                <c:pt idx="1">
                  <c:v>2022年</c:v>
                </c:pt>
              </c:strCache>
            </c:strRef>
          </c:cat>
          <c:val>
            <c:numRef>
              <c:f>Sheet1!$B$2:$B$3</c:f>
              <c:numCache>
                <c:formatCode>General</c:formatCode>
                <c:ptCount val="2"/>
                <c:pt idx="0">
                  <c:v>1630.66</c:v>
                </c:pt>
                <c:pt idx="1">
                  <c:v>1404.12</c:v>
                </c:pt>
              </c:numCache>
            </c:numRef>
          </c:val>
        </c:ser>
        <c:dLbls>
          <c:showLegendKey val="0"/>
          <c:showVal val="1"/>
          <c:showCatName val="0"/>
          <c:showSerName val="0"/>
          <c:showPercent val="0"/>
          <c:showBubbleSize val="0"/>
        </c:dLbls>
        <c:gapWidth val="150"/>
        <c:overlap val="100"/>
        <c:axId val="337565568"/>
        <c:axId val="337568896"/>
      </c:barChart>
      <c:catAx>
        <c:axId val="33756556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7568896"/>
        <c:crosses val="autoZero"/>
        <c:auto val="1"/>
        <c:lblAlgn val="ctr"/>
        <c:lblOffset val="100"/>
        <c:noMultiLvlLbl val="0"/>
      </c:catAx>
      <c:valAx>
        <c:axId val="337568896"/>
        <c:scaling>
          <c:orientation val="minMax"/>
          <c:min val="1000"/>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37565568"/>
        <c:crosses val="autoZero"/>
        <c:crossBetween val="between"/>
        <c:majorUnit val="100"/>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74696277349453"/>
          <c:y val="0.107862308134419"/>
          <c:w val="0.566457724598501"/>
          <c:h val="0.854381208132146"/>
        </c:manualLayout>
      </c:layout>
      <c:pieChart>
        <c:varyColors val="1"/>
        <c:ser>
          <c:idx val="0"/>
          <c:order val="0"/>
          <c:tx>
            <c:strRef>
              <c:f>Sheet1!$B$1</c:f>
              <c:strCache>
                <c:ptCount val="1"/>
                <c:pt idx="0">
                  <c:v>销售额</c:v>
                </c:pt>
              </c:strCache>
            </c:strRef>
          </c:tx>
          <c:spPr>
            <a:ln>
              <a:noFill/>
            </a:ln>
          </c:spPr>
          <c:explosion val="0"/>
          <c:dPt>
            <c:idx val="0"/>
            <c:bubble3D val="0"/>
            <c:spPr>
              <a:ln>
                <a:noFill/>
              </a:ln>
            </c:spPr>
          </c:dPt>
          <c:dPt>
            <c:idx val="1"/>
            <c:bubble3D val="0"/>
            <c:spPr>
              <a:ln>
                <a:noFill/>
              </a:ln>
            </c:spPr>
          </c:dPt>
          <c:dPt>
            <c:idx val="2"/>
            <c:bubble3D val="0"/>
            <c:spPr>
              <a:ln>
                <a:noFill/>
              </a:ln>
            </c:spPr>
          </c:dPt>
          <c:dPt>
            <c:idx val="3"/>
            <c:bubble3D val="0"/>
            <c:spPr>
              <a:ln>
                <a:noFill/>
              </a:ln>
            </c:spPr>
          </c:dPt>
          <c:dLbls>
            <c:dLbl>
              <c:idx val="0"/>
              <c:layout>
                <c:manualLayout>
                  <c:x val="-0.00751095343425059"/>
                  <c:y val="-0.0018028139744060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351729262054088"/>
                  <c:y val="0.003638424096401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Sheet1!$A$2:$A$5</c:f>
              <c:strCache>
                <c:ptCount val="4"/>
                <c:pt idx="0">
                  <c:v>社会保障和就业（类）支出</c:v>
                </c:pt>
                <c:pt idx="1">
                  <c:v>卫生健康（类）支出</c:v>
                </c:pt>
                <c:pt idx="2">
                  <c:v>资源勘探信息等（类）支出</c:v>
                </c:pt>
                <c:pt idx="3">
                  <c:v>住房保障（类）支出</c:v>
                </c:pt>
              </c:strCache>
            </c:strRef>
          </c:cat>
          <c:val>
            <c:numRef>
              <c:f>Sheet1!$B$2:$B$5</c:f>
              <c:numCache>
                <c:formatCode>0.00%</c:formatCode>
                <c:ptCount val="4"/>
                <c:pt idx="0">
                  <c:v>0.074</c:v>
                </c:pt>
                <c:pt idx="1">
                  <c:v>0.0343</c:v>
                </c:pt>
                <c:pt idx="2">
                  <c:v>0.8528</c:v>
                </c:pt>
                <c:pt idx="3">
                  <c:v>0.0389</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7567-665D-4388-8AEE-A2F8B2ADEBC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33</Pages>
  <Words>7997</Words>
  <Characters>10838</Characters>
  <Lines>52</Lines>
  <Paragraphs>14</Paragraphs>
  <TotalTime>8</TotalTime>
  <ScaleCrop>false</ScaleCrop>
  <LinksUpToDate>false</LinksUpToDate>
  <CharactersWithSpaces>11166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2022-07-26T02:12:00Z</dcterms:created>
  <dc:creator>wangqingchun</dc:creator>
  <cp:lastModifiedBy>旷野精灵</cp:lastModifiedBy>
  <cp:lastPrinted>2021-07-12T01:41:00Z</cp:lastPrinted>
  <dcterms:modified xsi:type="dcterms:W3CDTF">2023-08-14T07:25:19Z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8FCD09C952364DA5970DFBF3E79D37BB_13</vt:lpwstr>
  </property>
</Properties>
</file>