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3834B3">
      <w:pPr>
        <w:spacing w:line="560" w:lineRule="exact"/>
        <w:jc w:val="both"/>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附件2</w:t>
      </w:r>
    </w:p>
    <w:p w14:paraId="7E41BE58">
      <w:pPr>
        <w:adjustRightInd w:val="0"/>
        <w:snapToGrid w:val="0"/>
        <w:spacing w:line="360" w:lineRule="auto"/>
        <w:jc w:val="both"/>
        <w:rPr>
          <w:rFonts w:hint="eastAsia" w:ascii="Times New Roman" w:hAnsi="Times New Roman" w:eastAsia="黑体" w:cs="Times New Roman"/>
          <w:b/>
          <w:sz w:val="48"/>
          <w:szCs w:val="48"/>
        </w:rPr>
      </w:pPr>
    </w:p>
    <w:p w14:paraId="4C70C90F">
      <w:pPr>
        <w:adjustRightInd w:val="0"/>
        <w:snapToGrid w:val="0"/>
        <w:spacing w:line="360" w:lineRule="auto"/>
        <w:ind w:firstLine="2891" w:firstLineChars="600"/>
        <w:jc w:val="both"/>
        <w:rPr>
          <w:rFonts w:ascii="Times New Roman" w:hAnsi="Times New Roman" w:eastAsia="黑体" w:cs="Times New Roman"/>
          <w:b/>
          <w:sz w:val="48"/>
          <w:szCs w:val="48"/>
        </w:rPr>
      </w:pPr>
      <w:r>
        <w:rPr>
          <w:rFonts w:hint="eastAsia" w:ascii="Times New Roman" w:hAnsi="Times New Roman" w:eastAsia="黑体" w:cs="Times New Roman"/>
          <w:b/>
          <w:sz w:val="48"/>
          <w:szCs w:val="48"/>
        </w:rPr>
        <w:t>大赛技术文件</w:t>
      </w:r>
    </w:p>
    <w:p w14:paraId="021E0B27">
      <w:pPr>
        <w:rPr>
          <w:rFonts w:ascii="Times New Roman" w:hAnsi="Times New Roman" w:eastAsia="黑体" w:cs="Times New Roman"/>
          <w:b/>
          <w:sz w:val="48"/>
          <w:szCs w:val="48"/>
        </w:rPr>
      </w:pPr>
    </w:p>
    <w:p w14:paraId="59590103">
      <w:pPr>
        <w:pStyle w:val="2"/>
        <w:rPr>
          <w:lang w:eastAsia="zh-CN"/>
        </w:rPr>
      </w:pPr>
    </w:p>
    <w:sdt>
      <w:sdtPr>
        <w:rPr>
          <w:rFonts w:hint="eastAsia" w:ascii="黑体" w:hAnsi="黑体" w:eastAsia="黑体" w:cs="黑体"/>
          <w:b/>
          <w:bCs/>
          <w:sz w:val="32"/>
          <w:szCs w:val="32"/>
        </w:rPr>
        <w:id w:val="147468902"/>
        <w:docPartObj>
          <w:docPartGallery w:val="Table of Contents"/>
          <w:docPartUnique/>
        </w:docPartObj>
      </w:sdtPr>
      <w:sdtEndPr>
        <w:rPr>
          <w:rFonts w:hint="eastAsia" w:ascii="宋体" w:hAnsi="宋体" w:eastAsia="宋体" w:cs="宋体"/>
          <w:b/>
          <w:bCs/>
          <w:sz w:val="24"/>
          <w:szCs w:val="24"/>
        </w:rPr>
      </w:sdtEndPr>
      <w:sdtContent>
        <w:p w14:paraId="0B16F463">
          <w:pPr>
            <w:jc w:val="center"/>
            <w:rPr>
              <w:rFonts w:ascii="黑体" w:hAnsi="黑体" w:eastAsia="黑体" w:cs="黑体"/>
              <w:b/>
              <w:bCs/>
              <w:sz w:val="32"/>
              <w:szCs w:val="32"/>
            </w:rPr>
          </w:pPr>
          <w:r>
            <w:rPr>
              <w:rFonts w:hint="eastAsia" w:ascii="黑体" w:hAnsi="黑体" w:eastAsia="黑体" w:cs="黑体"/>
              <w:b/>
              <w:bCs/>
              <w:sz w:val="32"/>
              <w:szCs w:val="32"/>
            </w:rPr>
            <w:t>目录</w:t>
          </w:r>
        </w:p>
        <w:p w14:paraId="18C2C394">
          <w:pPr>
            <w:pStyle w:val="10"/>
            <w:tabs>
              <w:tab w:val="right" w:leader="dot" w:pos="8306"/>
            </w:tabs>
            <w:spacing w:line="360" w:lineRule="auto"/>
            <w:rPr>
              <w:rFonts w:ascii="仿宋" w:hAnsi="仿宋" w:eastAsia="仿宋" w:cs="仿宋"/>
              <w:b/>
              <w:bCs/>
            </w:rPr>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"_Toc566" </w:instrText>
          </w:r>
          <w:r>
            <w:fldChar w:fldCharType="separate"/>
          </w:r>
          <w:r>
            <w:rPr>
              <w:rFonts w:hint="eastAsia" w:ascii="仿宋" w:hAnsi="仿宋" w:eastAsia="仿宋" w:cs="仿宋"/>
              <w:b/>
              <w:bCs/>
              <w:szCs w:val="20"/>
            </w:rPr>
            <w:t>一、 参赛对象</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_Toc566 \h </w:instrText>
          </w:r>
          <w:r>
            <w:rPr>
              <w:rFonts w:hint="eastAsia" w:ascii="仿宋" w:hAnsi="仿宋" w:eastAsia="仿宋" w:cs="仿宋"/>
              <w:b/>
              <w:bCs/>
            </w:rPr>
            <w:fldChar w:fldCharType="separate"/>
          </w:r>
          <w:r>
            <w:rPr>
              <w:rFonts w:hint="eastAsia" w:ascii="仿宋" w:hAnsi="仿宋" w:eastAsia="仿宋" w:cs="仿宋"/>
              <w:b/>
              <w:bCs/>
            </w:rPr>
            <w:t>3</w:t>
          </w:r>
          <w:r>
            <w:rPr>
              <w:rFonts w:hint="eastAsia" w:ascii="仿宋" w:hAnsi="仿宋" w:eastAsia="仿宋" w:cs="仿宋"/>
              <w:b/>
              <w:bCs/>
            </w:rPr>
            <w:fldChar w:fldCharType="end"/>
          </w:r>
          <w:r>
            <w:rPr>
              <w:rFonts w:hint="eastAsia" w:ascii="仿宋" w:hAnsi="仿宋" w:eastAsia="仿宋" w:cs="仿宋"/>
              <w:b/>
              <w:bCs/>
            </w:rPr>
            <w:fldChar w:fldCharType="end"/>
          </w:r>
        </w:p>
        <w:p w14:paraId="286CB102">
          <w:pPr>
            <w:pStyle w:val="10"/>
            <w:tabs>
              <w:tab w:val="right" w:leader="dot" w:pos="8306"/>
            </w:tabs>
            <w:spacing w:line="360" w:lineRule="auto"/>
            <w:rPr>
              <w:rFonts w:ascii="仿宋" w:hAnsi="仿宋" w:eastAsia="仿宋" w:cs="仿宋"/>
              <w:b/>
              <w:bCs/>
            </w:rPr>
          </w:pPr>
          <w:r>
            <w:fldChar w:fldCharType="begin"/>
          </w:r>
          <w:r>
            <w:instrText xml:space="preserve"> HYPERLINK \l "_Toc27252" </w:instrText>
          </w:r>
          <w:r>
            <w:fldChar w:fldCharType="separate"/>
          </w:r>
          <w:r>
            <w:rPr>
              <w:rFonts w:hint="eastAsia" w:ascii="仿宋" w:hAnsi="仿宋" w:eastAsia="仿宋" w:cs="仿宋"/>
              <w:b/>
              <w:bCs/>
              <w:szCs w:val="20"/>
            </w:rPr>
            <w:t>二、 竞赛实施方案</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_Toc27252 \h </w:instrText>
          </w:r>
          <w:r>
            <w:rPr>
              <w:rFonts w:hint="eastAsia" w:ascii="仿宋" w:hAnsi="仿宋" w:eastAsia="仿宋" w:cs="仿宋"/>
              <w:b/>
              <w:bCs/>
            </w:rPr>
            <w:fldChar w:fldCharType="separate"/>
          </w:r>
          <w:r>
            <w:rPr>
              <w:rFonts w:hint="eastAsia" w:ascii="仿宋" w:hAnsi="仿宋" w:eastAsia="仿宋" w:cs="仿宋"/>
              <w:b/>
              <w:bCs/>
            </w:rPr>
            <w:t>3</w:t>
          </w:r>
          <w:r>
            <w:rPr>
              <w:rFonts w:hint="eastAsia" w:ascii="仿宋" w:hAnsi="仿宋" w:eastAsia="仿宋" w:cs="仿宋"/>
              <w:b/>
              <w:bCs/>
            </w:rPr>
            <w:fldChar w:fldCharType="end"/>
          </w:r>
          <w:r>
            <w:rPr>
              <w:rFonts w:hint="eastAsia" w:ascii="仿宋" w:hAnsi="仿宋" w:eastAsia="仿宋" w:cs="仿宋"/>
              <w:b/>
              <w:bCs/>
            </w:rPr>
            <w:fldChar w:fldCharType="end"/>
          </w:r>
        </w:p>
        <w:p w14:paraId="3E106D63">
          <w:pPr>
            <w:pStyle w:val="11"/>
            <w:tabs>
              <w:tab w:val="right" w:leader="dot" w:pos="8306"/>
            </w:tabs>
            <w:spacing w:line="360" w:lineRule="auto"/>
            <w:ind w:left="480"/>
            <w:rPr>
              <w:rFonts w:ascii="仿宋" w:hAnsi="仿宋" w:eastAsia="仿宋" w:cs="仿宋"/>
              <w:b/>
              <w:bCs/>
            </w:rPr>
          </w:pPr>
          <w:r>
            <w:fldChar w:fldCharType="begin"/>
          </w:r>
          <w:r>
            <w:instrText xml:space="preserve"> HYPERLINK \l "_Toc17564" </w:instrText>
          </w:r>
          <w:r>
            <w:fldChar w:fldCharType="separate"/>
          </w:r>
          <w:r>
            <w:rPr>
              <w:rFonts w:hint="eastAsia" w:ascii="仿宋" w:hAnsi="仿宋" w:eastAsia="仿宋" w:cs="仿宋"/>
              <w:b/>
              <w:bCs/>
              <w:szCs w:val="22"/>
            </w:rPr>
            <w:t>2.1 竞赛组织规划</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_Toc17564 \h </w:instrText>
          </w:r>
          <w:r>
            <w:rPr>
              <w:rFonts w:hint="eastAsia" w:ascii="仿宋" w:hAnsi="仿宋" w:eastAsia="仿宋" w:cs="仿宋"/>
              <w:b/>
              <w:bCs/>
            </w:rPr>
            <w:fldChar w:fldCharType="separate"/>
          </w:r>
          <w:r>
            <w:rPr>
              <w:rFonts w:hint="eastAsia" w:ascii="仿宋" w:hAnsi="仿宋" w:eastAsia="仿宋" w:cs="仿宋"/>
              <w:b/>
              <w:bCs/>
            </w:rPr>
            <w:t>3</w:t>
          </w:r>
          <w:r>
            <w:rPr>
              <w:rFonts w:hint="eastAsia" w:ascii="仿宋" w:hAnsi="仿宋" w:eastAsia="仿宋" w:cs="仿宋"/>
              <w:b/>
              <w:bCs/>
            </w:rPr>
            <w:fldChar w:fldCharType="end"/>
          </w:r>
          <w:r>
            <w:rPr>
              <w:rFonts w:hint="eastAsia" w:ascii="仿宋" w:hAnsi="仿宋" w:eastAsia="仿宋" w:cs="仿宋"/>
              <w:b/>
              <w:bCs/>
            </w:rPr>
            <w:fldChar w:fldCharType="end"/>
          </w:r>
        </w:p>
        <w:p w14:paraId="422B3478">
          <w:pPr>
            <w:pStyle w:val="6"/>
            <w:tabs>
              <w:tab w:val="right" w:leader="dot" w:pos="8306"/>
            </w:tabs>
            <w:spacing w:line="360" w:lineRule="auto"/>
            <w:ind w:left="960"/>
            <w:rPr>
              <w:rFonts w:ascii="仿宋" w:hAnsi="仿宋" w:eastAsia="仿宋" w:cs="仿宋"/>
              <w:b/>
              <w:bCs/>
            </w:rPr>
          </w:pPr>
          <w:r>
            <w:fldChar w:fldCharType="begin"/>
          </w:r>
          <w:r>
            <w:instrText xml:space="preserve"> HYPERLINK \l "_Toc18155" </w:instrText>
          </w:r>
          <w:r>
            <w:fldChar w:fldCharType="separate"/>
          </w:r>
          <w:r>
            <w:rPr>
              <w:rFonts w:hint="eastAsia" w:ascii="仿宋" w:hAnsi="仿宋" w:eastAsia="仿宋" w:cs="仿宋"/>
              <w:b/>
              <w:bCs/>
              <w:szCs w:val="21"/>
            </w:rPr>
            <w:t>2.1.1 竞赛形式</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_Toc18155 \h </w:instrText>
          </w:r>
          <w:r>
            <w:rPr>
              <w:rFonts w:hint="eastAsia" w:ascii="仿宋" w:hAnsi="仿宋" w:eastAsia="仿宋" w:cs="仿宋"/>
              <w:b/>
              <w:bCs/>
            </w:rPr>
            <w:fldChar w:fldCharType="separate"/>
          </w:r>
          <w:r>
            <w:rPr>
              <w:rFonts w:hint="eastAsia" w:ascii="仿宋" w:hAnsi="仿宋" w:eastAsia="仿宋" w:cs="仿宋"/>
              <w:b/>
              <w:bCs/>
            </w:rPr>
            <w:t>3</w:t>
          </w:r>
          <w:r>
            <w:rPr>
              <w:rFonts w:hint="eastAsia" w:ascii="仿宋" w:hAnsi="仿宋" w:eastAsia="仿宋" w:cs="仿宋"/>
              <w:b/>
              <w:bCs/>
            </w:rPr>
            <w:fldChar w:fldCharType="end"/>
          </w:r>
          <w:r>
            <w:rPr>
              <w:rFonts w:hint="eastAsia" w:ascii="仿宋" w:hAnsi="仿宋" w:eastAsia="仿宋" w:cs="仿宋"/>
              <w:b/>
              <w:bCs/>
            </w:rPr>
            <w:fldChar w:fldCharType="end"/>
          </w:r>
        </w:p>
        <w:p w14:paraId="13E03458">
          <w:pPr>
            <w:pStyle w:val="6"/>
            <w:tabs>
              <w:tab w:val="right" w:leader="dot" w:pos="8306"/>
            </w:tabs>
            <w:spacing w:line="360" w:lineRule="auto"/>
            <w:ind w:left="960"/>
            <w:rPr>
              <w:rFonts w:ascii="仿宋" w:hAnsi="仿宋" w:eastAsia="仿宋" w:cs="仿宋"/>
              <w:b/>
              <w:bCs/>
            </w:rPr>
          </w:pPr>
          <w:r>
            <w:fldChar w:fldCharType="begin"/>
          </w:r>
          <w:r>
            <w:instrText xml:space="preserve"> HYPERLINK \l "_Toc29021" </w:instrText>
          </w:r>
          <w:r>
            <w:fldChar w:fldCharType="separate"/>
          </w:r>
          <w:r>
            <w:rPr>
              <w:rFonts w:hint="eastAsia" w:ascii="仿宋" w:hAnsi="仿宋" w:eastAsia="仿宋" w:cs="仿宋"/>
              <w:b/>
              <w:bCs/>
              <w:szCs w:val="21"/>
            </w:rPr>
            <w:t>2.1.2 竞赛规则</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_Toc29021 \h </w:instrText>
          </w:r>
          <w:r>
            <w:rPr>
              <w:rFonts w:hint="eastAsia" w:ascii="仿宋" w:hAnsi="仿宋" w:eastAsia="仿宋" w:cs="仿宋"/>
              <w:b/>
              <w:bCs/>
            </w:rPr>
            <w:fldChar w:fldCharType="separate"/>
          </w:r>
          <w:r>
            <w:rPr>
              <w:rFonts w:hint="eastAsia" w:ascii="仿宋" w:hAnsi="仿宋" w:eastAsia="仿宋" w:cs="仿宋"/>
              <w:b/>
              <w:bCs/>
            </w:rPr>
            <w:t>4</w:t>
          </w:r>
          <w:r>
            <w:rPr>
              <w:rFonts w:hint="eastAsia" w:ascii="仿宋" w:hAnsi="仿宋" w:eastAsia="仿宋" w:cs="仿宋"/>
              <w:b/>
              <w:bCs/>
            </w:rPr>
            <w:fldChar w:fldCharType="end"/>
          </w:r>
          <w:r>
            <w:rPr>
              <w:rFonts w:hint="eastAsia" w:ascii="仿宋" w:hAnsi="仿宋" w:eastAsia="仿宋" w:cs="仿宋"/>
              <w:b/>
              <w:bCs/>
            </w:rPr>
            <w:fldChar w:fldCharType="end"/>
          </w:r>
        </w:p>
        <w:p w14:paraId="18C5D880">
          <w:pPr>
            <w:pStyle w:val="11"/>
            <w:tabs>
              <w:tab w:val="right" w:leader="dot" w:pos="8306"/>
            </w:tabs>
            <w:spacing w:line="360" w:lineRule="auto"/>
            <w:ind w:left="480"/>
            <w:rPr>
              <w:rFonts w:ascii="仿宋" w:hAnsi="仿宋" w:eastAsia="仿宋" w:cs="仿宋"/>
              <w:b/>
              <w:bCs/>
            </w:rPr>
          </w:pPr>
          <w:r>
            <w:fldChar w:fldCharType="begin"/>
          </w:r>
          <w:r>
            <w:instrText xml:space="preserve"> HYPERLINK \l "_Toc27952" </w:instrText>
          </w:r>
          <w:r>
            <w:fldChar w:fldCharType="separate"/>
          </w:r>
          <w:r>
            <w:rPr>
              <w:rFonts w:hint="eastAsia" w:ascii="仿宋" w:hAnsi="仿宋" w:eastAsia="仿宋" w:cs="仿宋"/>
              <w:b/>
              <w:bCs/>
              <w:szCs w:val="22"/>
            </w:rPr>
            <w:t>2.2 竞赛平台</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_Toc27952 \h </w:instrText>
          </w:r>
          <w:r>
            <w:rPr>
              <w:rFonts w:hint="eastAsia" w:ascii="仿宋" w:hAnsi="仿宋" w:eastAsia="仿宋" w:cs="仿宋"/>
              <w:b/>
              <w:bCs/>
            </w:rPr>
            <w:fldChar w:fldCharType="separate"/>
          </w:r>
          <w:r>
            <w:rPr>
              <w:rFonts w:hint="eastAsia" w:ascii="仿宋" w:hAnsi="仿宋" w:eastAsia="仿宋" w:cs="仿宋"/>
              <w:b/>
              <w:bCs/>
            </w:rPr>
            <w:t>6</w:t>
          </w:r>
          <w:r>
            <w:rPr>
              <w:rFonts w:hint="eastAsia" w:ascii="仿宋" w:hAnsi="仿宋" w:eastAsia="仿宋" w:cs="仿宋"/>
              <w:b/>
              <w:bCs/>
            </w:rPr>
            <w:fldChar w:fldCharType="end"/>
          </w:r>
          <w:r>
            <w:rPr>
              <w:rFonts w:hint="eastAsia" w:ascii="仿宋" w:hAnsi="仿宋" w:eastAsia="仿宋" w:cs="仿宋"/>
              <w:b/>
              <w:bCs/>
            </w:rPr>
            <w:fldChar w:fldCharType="end"/>
          </w:r>
        </w:p>
        <w:p w14:paraId="43305414">
          <w:pPr>
            <w:pStyle w:val="10"/>
            <w:tabs>
              <w:tab w:val="right" w:leader="dot" w:pos="8306"/>
            </w:tabs>
            <w:spacing w:line="360" w:lineRule="auto"/>
            <w:rPr>
              <w:rFonts w:ascii="仿宋" w:hAnsi="仿宋" w:eastAsia="仿宋" w:cs="仿宋"/>
              <w:b/>
              <w:bCs/>
            </w:rPr>
          </w:pPr>
          <w:r>
            <w:fldChar w:fldCharType="begin"/>
          </w:r>
          <w:r>
            <w:instrText xml:space="preserve"> HYPERLINK \l "_Toc15941" </w:instrText>
          </w:r>
          <w:r>
            <w:fldChar w:fldCharType="separate"/>
          </w:r>
          <w:r>
            <w:rPr>
              <w:rFonts w:hint="eastAsia" w:ascii="仿宋" w:hAnsi="仿宋" w:eastAsia="仿宋" w:cs="仿宋"/>
              <w:b/>
              <w:bCs/>
              <w:szCs w:val="20"/>
            </w:rPr>
            <w:t>三、 竞赛大纲</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_Toc15941 \h </w:instrText>
          </w:r>
          <w:r>
            <w:rPr>
              <w:rFonts w:hint="eastAsia" w:ascii="仿宋" w:hAnsi="仿宋" w:eastAsia="仿宋" w:cs="仿宋"/>
              <w:b/>
              <w:bCs/>
            </w:rPr>
            <w:fldChar w:fldCharType="separate"/>
          </w:r>
          <w:r>
            <w:rPr>
              <w:rFonts w:hint="eastAsia" w:ascii="仿宋" w:hAnsi="仿宋" w:eastAsia="仿宋" w:cs="仿宋"/>
              <w:b/>
              <w:bCs/>
            </w:rPr>
            <w:t>10</w:t>
          </w:r>
          <w:r>
            <w:rPr>
              <w:rFonts w:hint="eastAsia" w:ascii="仿宋" w:hAnsi="仿宋" w:eastAsia="仿宋" w:cs="仿宋"/>
              <w:b/>
              <w:bCs/>
            </w:rPr>
            <w:fldChar w:fldCharType="end"/>
          </w:r>
          <w:r>
            <w:rPr>
              <w:rFonts w:hint="eastAsia" w:ascii="仿宋" w:hAnsi="仿宋" w:eastAsia="仿宋" w:cs="仿宋"/>
              <w:b/>
              <w:bCs/>
            </w:rPr>
            <w:fldChar w:fldCharType="end"/>
          </w:r>
        </w:p>
        <w:p w14:paraId="4F4D8604">
          <w:pPr>
            <w:pStyle w:val="10"/>
            <w:tabs>
              <w:tab w:val="right" w:leader="dot" w:pos="8306"/>
            </w:tabs>
            <w:spacing w:line="360" w:lineRule="auto"/>
          </w:pPr>
          <w:r>
            <w:fldChar w:fldCharType="begin"/>
          </w:r>
          <w:r>
            <w:instrText xml:space="preserve"> HYPERLINK \l "_Toc5453" </w:instrText>
          </w:r>
          <w:r>
            <w:fldChar w:fldCharType="separate"/>
          </w:r>
          <w:r>
            <w:rPr>
              <w:rFonts w:hint="eastAsia" w:ascii="仿宋" w:hAnsi="仿宋" w:eastAsia="仿宋" w:cs="仿宋"/>
              <w:b/>
              <w:bCs/>
              <w:szCs w:val="20"/>
            </w:rPr>
            <w:t>四、 竞赛说明</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_Toc5453 \h </w:instrText>
          </w:r>
          <w:r>
            <w:rPr>
              <w:rFonts w:hint="eastAsia" w:ascii="仿宋" w:hAnsi="仿宋" w:eastAsia="仿宋" w:cs="仿宋"/>
              <w:b/>
              <w:bCs/>
            </w:rPr>
            <w:fldChar w:fldCharType="separate"/>
          </w:r>
          <w:r>
            <w:rPr>
              <w:rFonts w:hint="eastAsia" w:ascii="仿宋" w:hAnsi="仿宋" w:eastAsia="仿宋" w:cs="仿宋"/>
              <w:b/>
              <w:bCs/>
            </w:rPr>
            <w:t>13</w:t>
          </w:r>
          <w:r>
            <w:rPr>
              <w:rFonts w:hint="eastAsia" w:ascii="仿宋" w:hAnsi="仿宋" w:eastAsia="仿宋" w:cs="仿宋"/>
              <w:b/>
              <w:bCs/>
            </w:rPr>
            <w:fldChar w:fldCharType="end"/>
          </w:r>
          <w:r>
            <w:rPr>
              <w:rFonts w:hint="eastAsia" w:ascii="仿宋" w:hAnsi="仿宋" w:eastAsia="仿宋" w:cs="仿宋"/>
              <w:b/>
              <w:bCs/>
            </w:rPr>
            <w:fldChar w:fldCharType="end"/>
          </w:r>
        </w:p>
        <w:p w14:paraId="766FBD52">
          <w:pPr>
            <w:spacing w:line="360" w:lineRule="auto"/>
          </w:pPr>
          <w:r>
            <w:rPr>
              <w:rFonts w:hint="eastAsia"/>
            </w:rPr>
            <w:fldChar w:fldCharType="end"/>
          </w:r>
        </w:p>
      </w:sdtContent>
    </w:sdt>
    <w:p w14:paraId="41360552">
      <w:pPr>
        <w:pStyle w:val="2"/>
        <w:rPr>
          <w:lang w:eastAsia="zh-CN"/>
        </w:rPr>
      </w:pPr>
    </w:p>
    <w:p w14:paraId="118054A5">
      <w:r>
        <w:br w:type="page"/>
      </w:r>
    </w:p>
    <w:p w14:paraId="1970D706">
      <w:pPr>
        <w:spacing w:line="560" w:lineRule="exact"/>
        <w:ind w:firstLine="602" w:firstLineChars="200"/>
        <w:rPr>
          <w:rFonts w:ascii="仿宋" w:hAnsi="仿宋" w:eastAsia="仿宋" w:cs="仿宋"/>
          <w:sz w:val="30"/>
          <w:szCs w:val="30"/>
        </w:rPr>
      </w:pPr>
      <w:bookmarkStart w:id="0" w:name="_Toc566"/>
      <w:bookmarkStart w:id="1" w:name="_Toc16625"/>
      <w:bookmarkStart w:id="2" w:name="OLE_LINK1"/>
      <w:r>
        <w:rPr>
          <w:rFonts w:hint="eastAsia" w:ascii="仿宋" w:hAnsi="仿宋" w:eastAsia="仿宋" w:cs="仿宋"/>
          <w:b/>
          <w:bCs/>
          <w:sz w:val="30"/>
          <w:szCs w:val="30"/>
        </w:rPr>
        <w:t>一、参赛对象</w:t>
      </w:r>
      <w:bookmarkEnd w:id="0"/>
      <w:bookmarkEnd w:id="1"/>
    </w:p>
    <w:p w14:paraId="02267863">
      <w:pPr>
        <w:spacing w:line="560" w:lineRule="exact"/>
        <w:ind w:firstLine="600" w:firstLineChars="200"/>
        <w:jc w:val="both"/>
        <w:rPr>
          <w:rFonts w:ascii="仿宋" w:hAnsi="仿宋" w:eastAsia="仿宋" w:cs="仿宋"/>
          <w:sz w:val="30"/>
          <w:szCs w:val="30"/>
        </w:rPr>
      </w:pPr>
      <w:r>
        <w:rPr>
          <w:rFonts w:hint="eastAsia" w:ascii="仿宋" w:hAnsi="仿宋" w:eastAsia="仿宋" w:cs="仿宋"/>
          <w:sz w:val="30"/>
          <w:szCs w:val="30"/>
        </w:rPr>
        <w:t>2025年“联通杯”陕西省数据安全管理员职业技能大赛暨第二届全国职工数字化应用技术技能大赛陕西省选拔赛面向全省从事数据安全工作的职工，考核选手在数据安全法规、数据安全技术应用、人工智能安全应用、数据安全攻防对抗以及前沿技术与新兴威胁等方面的综合能力，旨在提升人工智能时代下的数据安全保障水平。</w:t>
      </w:r>
      <w:bookmarkStart w:id="3" w:name="_Toc27252"/>
    </w:p>
    <w:p w14:paraId="7CAEEEEA">
      <w:pPr>
        <w:spacing w:line="560" w:lineRule="exact"/>
        <w:ind w:firstLine="602" w:firstLineChars="200"/>
        <w:jc w:val="both"/>
        <w:rPr>
          <w:rFonts w:ascii="仿宋" w:hAnsi="仿宋" w:eastAsia="仿宋" w:cs="仿宋"/>
          <w:b/>
          <w:bCs/>
          <w:sz w:val="30"/>
          <w:szCs w:val="30"/>
        </w:rPr>
      </w:pPr>
      <w:r>
        <w:rPr>
          <w:rFonts w:hint="eastAsia" w:ascii="仿宋" w:hAnsi="仿宋" w:eastAsia="仿宋" w:cs="仿宋"/>
          <w:b/>
          <w:bCs/>
          <w:sz w:val="30"/>
          <w:szCs w:val="30"/>
        </w:rPr>
        <w:t>二、竞赛实施方案</w:t>
      </w:r>
      <w:bookmarkEnd w:id="3"/>
      <w:bookmarkStart w:id="4" w:name="_Toc17564"/>
    </w:p>
    <w:p w14:paraId="5C4B87A5">
      <w:pPr>
        <w:spacing w:line="560" w:lineRule="exact"/>
        <w:ind w:firstLine="301" w:firstLineChars="100"/>
        <w:jc w:val="both"/>
        <w:rPr>
          <w:rFonts w:ascii="仿宋" w:hAnsi="仿宋" w:eastAsia="仿宋" w:cs="仿宋"/>
          <w:b/>
          <w:bCs/>
          <w:sz w:val="30"/>
          <w:szCs w:val="30"/>
        </w:rPr>
      </w:pPr>
      <w:r>
        <w:rPr>
          <w:rFonts w:hint="eastAsia" w:ascii="仿宋" w:hAnsi="仿宋" w:eastAsia="仿宋" w:cs="仿宋"/>
          <w:b/>
          <w:bCs/>
          <w:sz w:val="30"/>
          <w:szCs w:val="30"/>
        </w:rPr>
        <w:t>（一） 竞赛组织规划</w:t>
      </w:r>
      <w:bookmarkEnd w:id="4"/>
      <w:bookmarkStart w:id="5" w:name="_Toc18155"/>
    </w:p>
    <w:p w14:paraId="497BEDAA">
      <w:pPr>
        <w:spacing w:line="560" w:lineRule="exact"/>
        <w:ind w:firstLine="600" w:firstLineChars="200"/>
        <w:jc w:val="both"/>
        <w:rPr>
          <w:rFonts w:ascii="仿宋" w:hAnsi="仿宋" w:eastAsia="仿宋" w:cs="仿宋"/>
          <w:sz w:val="30"/>
          <w:szCs w:val="30"/>
        </w:rPr>
      </w:pPr>
      <w:r>
        <w:rPr>
          <w:rFonts w:hint="eastAsia" w:ascii="仿宋" w:hAnsi="仿宋" w:eastAsia="仿宋" w:cs="仿宋"/>
          <w:sz w:val="30"/>
          <w:szCs w:val="30"/>
        </w:rPr>
        <w:t>1 .竞赛形式</w:t>
      </w:r>
      <w:bookmarkEnd w:id="5"/>
    </w:p>
    <w:p w14:paraId="0B98FBE4">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大赛为个人赛，决赛共三场。第一场为理论赛、第二场为技能实操赛、第三场为综合场景赛，权重比为 3:3:4。</w:t>
      </w:r>
    </w:p>
    <w:p w14:paraId="7191E78D">
      <w:pPr>
        <w:spacing w:line="56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第一场：数据安全理论赛（30%）</w:t>
      </w:r>
    </w:p>
    <w:p w14:paraId="203D504C">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本场比赛总分300分，比赛时长1小时，模式为数据安全理论赛，理论试题根据选手ID从系统题库中随机生成。理论考点主要包括数据安全的政策法规标准以及技术知识点。</w:t>
      </w:r>
    </w:p>
    <w:p w14:paraId="0B7F07E3">
      <w:pPr>
        <w:spacing w:line="56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第二场：数据安全技能赛（30%）</w:t>
      </w:r>
    </w:p>
    <w:p w14:paraId="6A4083C2">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本场比赛总分300分，比赛时长2小时，模式为数据安全技能赛，数据安全技能赛分为数据安全题、数据分析题和模型安全题。知识点主要包括API接口安全、数据注入、数据高频采集、数据加解密、敏感数据识别、数据分类分级、数据脱敏、逆向分析、数据溯源与处置、模型数据安全等。</w:t>
      </w:r>
    </w:p>
    <w:p w14:paraId="771C85E8">
      <w:pPr>
        <w:spacing w:line="56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第三场：数据安全综合场景赛（40%）</w:t>
      </w:r>
    </w:p>
    <w:p w14:paraId="76B30F1A">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本场比赛总分400分，共计3小时，模式为数据安全综合场景赛。通过虚拟仿真企事业单位真实网络环境、重要数据业务系统、人工智能模型的全流程业务场景及面临的典型数据安全攻击事件，考察选手对于企事业单位综合业务场景下的数据安全应用防护与研判分析能力、人工智能模型应用与数据安全分析能力。涉及的知识点有：数据采集安全、数据传输安全、数据存储安全、数据处理安全、数据交换安全、数据销毁安全、数据溯源与处置、逆向分析、人工智能模型数据安全与应用等。</w:t>
      </w:r>
      <w:bookmarkStart w:id="6" w:name="_Toc29021"/>
    </w:p>
    <w:p w14:paraId="453AE2BD">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2.竞赛规则</w:t>
      </w:r>
      <w:bookmarkEnd w:id="6"/>
    </w:p>
    <w:p w14:paraId="41CFE1D7">
      <w:pPr>
        <w:spacing w:line="560" w:lineRule="exact"/>
        <w:ind w:firstLine="602" w:firstLineChars="200"/>
        <w:rPr>
          <w:rFonts w:ascii="仿宋" w:hAnsi="仿宋" w:eastAsia="仿宋" w:cs="仿宋"/>
          <w:sz w:val="30"/>
          <w:szCs w:val="30"/>
        </w:rPr>
      </w:pPr>
      <w:r>
        <w:rPr>
          <w:rFonts w:hint="eastAsia" w:ascii="仿宋" w:hAnsi="仿宋" w:eastAsia="仿宋" w:cs="仿宋"/>
          <w:b/>
          <w:bCs/>
          <w:sz w:val="30"/>
          <w:szCs w:val="30"/>
        </w:rPr>
        <w:t>第一场：</w:t>
      </w:r>
      <w:r>
        <w:rPr>
          <w:rFonts w:hint="eastAsia" w:ascii="仿宋" w:hAnsi="仿宋" w:eastAsia="仿宋" w:cs="仿宋"/>
          <w:sz w:val="30"/>
          <w:szCs w:val="30"/>
        </w:rPr>
        <w:t>采用竞赛系统在线答题，数据安全理论赛题型包括单选题、多选题、判断题，参赛选手需根据题目描述，选择合适选项进行作答，选手需逐题点击提交，提交之后无法修改答案。</w:t>
      </w:r>
    </w:p>
    <w:p w14:paraId="6373E73F">
      <w:pPr>
        <w:spacing w:line="560" w:lineRule="exact"/>
        <w:ind w:firstLine="602" w:firstLineChars="200"/>
        <w:rPr>
          <w:rFonts w:ascii="仿宋" w:hAnsi="仿宋" w:eastAsia="仿宋" w:cs="仿宋"/>
          <w:sz w:val="30"/>
          <w:szCs w:val="30"/>
        </w:rPr>
      </w:pPr>
      <w:r>
        <w:rPr>
          <w:rFonts w:hint="eastAsia" w:ascii="仿宋" w:hAnsi="仿宋" w:eastAsia="仿宋" w:cs="仿宋"/>
          <w:b/>
          <w:bCs/>
          <w:sz w:val="30"/>
          <w:szCs w:val="30"/>
        </w:rPr>
        <w:t>第二场：</w:t>
      </w:r>
      <w:r>
        <w:rPr>
          <w:rFonts w:hint="eastAsia" w:ascii="仿宋" w:hAnsi="仿宋" w:eastAsia="仿宋" w:cs="仿宋"/>
          <w:sz w:val="30"/>
          <w:szCs w:val="30"/>
        </w:rPr>
        <w:t>数据安全技能赛设置数据安全题、数据分析题和模型安全题三种题型，数据安全题预设指定“字符串”作为答案标识，选手通过各种技术手段分析获取答案，将答案提交至平台输入框即可，答对加分，答错不扣分；数据分析题采用大题小问形式，平台提供场景描述及题干要求，选手通过各种技术手段分析获取答案，将答案提交至平台对应题干下的输入框即可，答对加分，答错不扣分，限制答案提交次数为10次；模型安全题选手通过分析场景描述及要求完成解题，提交题干要求的附件至平台，选手主动点击题干下方的“提交答案”按钮选择对应需要提交的文件至平台，平台会自动进行答案验证，验证通过即可得分，验证不通过不扣分，平台限制验证次数为10次，系统实时统计分数并进行成绩展示。</w:t>
      </w:r>
    </w:p>
    <w:p w14:paraId="35F6136B">
      <w:pPr>
        <w:spacing w:line="560" w:lineRule="exact"/>
        <w:ind w:firstLine="602" w:firstLineChars="200"/>
        <w:rPr>
          <w:rFonts w:ascii="仿宋" w:hAnsi="仿宋" w:eastAsia="仿宋" w:cs="仿宋"/>
          <w:sz w:val="30"/>
          <w:szCs w:val="30"/>
        </w:rPr>
      </w:pPr>
      <w:r>
        <w:rPr>
          <w:rFonts w:hint="eastAsia" w:ascii="仿宋" w:hAnsi="仿宋" w:eastAsia="仿宋" w:cs="仿宋"/>
          <w:b/>
          <w:bCs/>
          <w:sz w:val="30"/>
          <w:szCs w:val="30"/>
        </w:rPr>
        <w:t>第三场：</w:t>
      </w:r>
      <w:r>
        <w:rPr>
          <w:rFonts w:hint="eastAsia" w:ascii="仿宋" w:hAnsi="仿宋" w:eastAsia="仿宋" w:cs="仿宋"/>
          <w:sz w:val="30"/>
          <w:szCs w:val="30"/>
        </w:rPr>
        <w:t>采用竞赛系统在线答题，竞赛平台将展示各参赛选手的IP地址段，考生需自己识别考题的网络拓扑结构，以便根据实际的场景进行题目作答，选手根据竞赛平台提供的题干描述以及提示进行答题，通过各种技术手段分析获取题干要求的答案，若答案格式要求为特定“字符串”标识，将“字符串”作为答案提交至平台输入框即可完成答题；若答案格式要求为特定“附件”，选手主动点击题干下方的“提交答案”按钮选择对应需要提交的文件至平台，平台会自动进行答案验证，验证通过即可得分，验证不通过不扣分，每道题限制为10次答题机会，系统实时统计分数并进行成绩展示。</w:t>
      </w:r>
    </w:p>
    <w:p w14:paraId="5F1EB4C5">
      <w:pPr>
        <w:ind w:firstLine="600" w:firstLineChars="200"/>
        <w:jc w:val="both"/>
        <w:rPr>
          <w:rFonts w:ascii="仿宋" w:hAnsi="仿宋" w:eastAsia="仿宋" w:cs="仿宋"/>
          <w:sz w:val="30"/>
          <w:szCs w:val="30"/>
        </w:rPr>
      </w:pPr>
      <w:r>
        <w:rPr>
          <w:rFonts w:hint="eastAsia" w:ascii="仿宋" w:hAnsi="仿宋" w:eastAsia="仿宋" w:cs="仿宋"/>
          <w:sz w:val="30"/>
          <w:szCs w:val="30"/>
        </w:rPr>
        <w:t>选手个人总成绩=数据安全理论赛得分+数据安全技能赛得分+数据安全综合场景赛得分，竞赛排名按积分进行排序，积分相同的，则按时间进行排序，先得分的排名在前。</w:t>
      </w:r>
      <w:bookmarkStart w:id="7" w:name="_Toc27952"/>
    </w:p>
    <w:p w14:paraId="5C9D1589">
      <w:pPr>
        <w:numPr>
          <w:ilvl w:val="0"/>
          <w:numId w:val="1"/>
        </w:numPr>
        <w:ind w:firstLine="602" w:firstLineChars="200"/>
        <w:jc w:val="both"/>
        <w:rPr>
          <w:rFonts w:ascii="仿宋" w:hAnsi="仿宋" w:eastAsia="仿宋" w:cs="仿宋"/>
          <w:b/>
          <w:bCs/>
          <w:sz w:val="30"/>
          <w:szCs w:val="30"/>
        </w:rPr>
      </w:pPr>
      <w:r>
        <w:rPr>
          <w:rFonts w:hint="eastAsia" w:ascii="仿宋" w:hAnsi="仿宋" w:eastAsia="仿宋" w:cs="仿宋"/>
          <w:b/>
          <w:bCs/>
          <w:sz w:val="30"/>
          <w:szCs w:val="30"/>
        </w:rPr>
        <w:t>竞赛平台</w:t>
      </w:r>
      <w:bookmarkEnd w:id="7"/>
    </w:p>
    <w:p w14:paraId="108B2183">
      <w:pPr>
        <w:pStyle w:val="2"/>
        <w:jc w:val="center"/>
        <w:rPr>
          <w:rFonts w:hint="eastAsia"/>
          <w:color w:val="FF0000"/>
          <w:lang w:eastAsia="zh-CN"/>
        </w:rPr>
      </w:pPr>
      <w:r>
        <w:rPr>
          <w:color w:val="FF0000"/>
          <w:lang w:eastAsia="zh-CN"/>
        </w:rPr>
        <w:drawing>
          <wp:inline distT="0" distB="0" distL="0" distR="0">
            <wp:extent cx="5274310" cy="2548890"/>
            <wp:effectExtent l="0" t="0" r="0" b="3810"/>
            <wp:docPr id="630936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36623" name="图片 1"/>
                    <pic:cNvPicPr>
                      <a:picLocks noChangeAspect="1"/>
                    </pic:cNvPicPr>
                  </pic:nvPicPr>
                  <pic:blipFill>
                    <a:blip r:embed="rId4"/>
                    <a:stretch>
                      <a:fillRect/>
                    </a:stretch>
                  </pic:blipFill>
                  <pic:spPr>
                    <a:xfrm>
                      <a:off x="0" y="0"/>
                      <a:ext cx="5274310" cy="2548890"/>
                    </a:xfrm>
                    <a:prstGeom prst="rect">
                      <a:avLst/>
                    </a:prstGeom>
                  </pic:spPr>
                </pic:pic>
              </a:graphicData>
            </a:graphic>
          </wp:inline>
        </w:drawing>
      </w:r>
    </w:p>
    <w:p w14:paraId="73C0B102">
      <w:pPr>
        <w:ind w:firstLine="420"/>
        <w:jc w:val="center"/>
        <w:rPr>
          <w:rFonts w:ascii="仿宋" w:hAnsi="仿宋" w:eastAsia="仿宋" w:cs="仿宋"/>
          <w:sz w:val="30"/>
          <w:szCs w:val="30"/>
          <w:shd w:val="clear" w:color="auto" w:fill="FFFFFF"/>
        </w:rPr>
      </w:pPr>
      <w:r>
        <w:rPr>
          <w:rFonts w:hint="eastAsia" w:ascii="仿宋" w:hAnsi="仿宋" w:eastAsia="仿宋" w:cs="仿宋"/>
          <w:sz w:val="30"/>
          <w:szCs w:val="30"/>
          <w:shd w:val="clear" w:color="auto" w:fill="FFFFFF"/>
        </w:rPr>
        <w:t>图：竞赛平台登录页面</w:t>
      </w:r>
    </w:p>
    <w:p w14:paraId="365E3409">
      <w:pPr>
        <w:pStyle w:val="2"/>
        <w:jc w:val="center"/>
        <w:rPr>
          <w:rFonts w:hint="eastAsia"/>
          <w:lang w:eastAsia="zh-CN"/>
        </w:rPr>
      </w:pPr>
      <w:r>
        <w:rPr>
          <w:lang w:eastAsia="zh-CN"/>
        </w:rPr>
        <w:drawing>
          <wp:inline distT="0" distB="0" distL="0" distR="0">
            <wp:extent cx="5274310" cy="2560320"/>
            <wp:effectExtent l="0" t="0" r="0" b="5080"/>
            <wp:docPr id="1971975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75001" name="图片 1"/>
                    <pic:cNvPicPr>
                      <a:picLocks noChangeAspect="1"/>
                    </pic:cNvPicPr>
                  </pic:nvPicPr>
                  <pic:blipFill>
                    <a:blip r:embed="rId5"/>
                    <a:stretch>
                      <a:fillRect/>
                    </a:stretch>
                  </pic:blipFill>
                  <pic:spPr>
                    <a:xfrm>
                      <a:off x="0" y="0"/>
                      <a:ext cx="5274310" cy="2560320"/>
                    </a:xfrm>
                    <a:prstGeom prst="rect">
                      <a:avLst/>
                    </a:prstGeom>
                  </pic:spPr>
                </pic:pic>
              </a:graphicData>
            </a:graphic>
          </wp:inline>
        </w:drawing>
      </w:r>
    </w:p>
    <w:p w14:paraId="04E1E92B">
      <w:pPr>
        <w:ind w:firstLine="420"/>
        <w:jc w:val="center"/>
        <w:rPr>
          <w:rFonts w:ascii="仿宋" w:hAnsi="仿宋" w:eastAsia="仿宋" w:cs="仿宋"/>
          <w:sz w:val="30"/>
          <w:szCs w:val="30"/>
          <w:shd w:val="clear" w:color="auto" w:fill="FFFFFF"/>
        </w:rPr>
      </w:pPr>
      <w:r>
        <w:rPr>
          <w:rFonts w:hint="eastAsia" w:ascii="仿宋" w:hAnsi="仿宋" w:eastAsia="仿宋" w:cs="仿宋"/>
          <w:sz w:val="30"/>
          <w:szCs w:val="30"/>
          <w:shd w:val="clear" w:color="auto" w:fill="FFFFFF"/>
        </w:rPr>
        <w:t>图：数据安全理论赛答题页面</w:t>
      </w:r>
    </w:p>
    <w:p w14:paraId="6509BA51">
      <w:pPr>
        <w:pStyle w:val="2"/>
        <w:jc w:val="center"/>
        <w:rPr>
          <w:rFonts w:hint="eastAsia"/>
          <w:lang w:eastAsia="zh-CN"/>
        </w:rPr>
      </w:pPr>
      <w:r>
        <w:rPr>
          <w:lang w:eastAsia="zh-CN"/>
        </w:rPr>
        <w:drawing>
          <wp:inline distT="0" distB="0" distL="0" distR="0">
            <wp:extent cx="5274310" cy="2548255"/>
            <wp:effectExtent l="0" t="0" r="0" b="4445"/>
            <wp:docPr id="1894492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92752" name="图片 1"/>
                    <pic:cNvPicPr>
                      <a:picLocks noChangeAspect="1"/>
                    </pic:cNvPicPr>
                  </pic:nvPicPr>
                  <pic:blipFill>
                    <a:blip r:embed="rId6"/>
                    <a:stretch>
                      <a:fillRect/>
                    </a:stretch>
                  </pic:blipFill>
                  <pic:spPr>
                    <a:xfrm>
                      <a:off x="0" y="0"/>
                      <a:ext cx="5274310" cy="2548255"/>
                    </a:xfrm>
                    <a:prstGeom prst="rect">
                      <a:avLst/>
                    </a:prstGeom>
                  </pic:spPr>
                </pic:pic>
              </a:graphicData>
            </a:graphic>
          </wp:inline>
        </w:drawing>
      </w:r>
    </w:p>
    <w:p w14:paraId="5C0DBD67">
      <w:pPr>
        <w:ind w:firstLine="420"/>
        <w:jc w:val="center"/>
        <w:rPr>
          <w:rFonts w:ascii="仿宋" w:hAnsi="仿宋" w:eastAsia="仿宋" w:cs="仿宋"/>
          <w:sz w:val="30"/>
          <w:szCs w:val="30"/>
          <w:shd w:val="clear" w:color="auto" w:fill="FFFFFF"/>
        </w:rPr>
      </w:pPr>
      <w:r>
        <w:rPr>
          <w:rFonts w:hint="eastAsia" w:ascii="仿宋" w:hAnsi="仿宋" w:eastAsia="仿宋" w:cs="仿宋"/>
          <w:sz w:val="30"/>
          <w:szCs w:val="30"/>
          <w:shd w:val="clear" w:color="auto" w:fill="FFFFFF"/>
        </w:rPr>
        <w:t>图：数据安全技能赛答题页面</w:t>
      </w:r>
    </w:p>
    <w:p w14:paraId="68F7992D">
      <w:pPr>
        <w:pStyle w:val="2"/>
        <w:jc w:val="center"/>
        <w:rPr>
          <w:rFonts w:hint="eastAsia"/>
          <w:lang w:eastAsia="zh-CN"/>
        </w:rPr>
      </w:pPr>
      <w:r>
        <w:rPr>
          <w:lang w:eastAsia="zh-CN"/>
        </w:rPr>
        <w:drawing>
          <wp:inline distT="0" distB="0" distL="0" distR="0">
            <wp:extent cx="5274310" cy="2557145"/>
            <wp:effectExtent l="0" t="0" r="0" b="0"/>
            <wp:docPr id="105452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2175" name="图片 1"/>
                    <pic:cNvPicPr>
                      <a:picLocks noChangeAspect="1"/>
                    </pic:cNvPicPr>
                  </pic:nvPicPr>
                  <pic:blipFill>
                    <a:blip r:embed="rId7"/>
                    <a:stretch>
                      <a:fillRect/>
                    </a:stretch>
                  </pic:blipFill>
                  <pic:spPr>
                    <a:xfrm>
                      <a:off x="0" y="0"/>
                      <a:ext cx="5274310" cy="2557145"/>
                    </a:xfrm>
                    <a:prstGeom prst="rect">
                      <a:avLst/>
                    </a:prstGeom>
                  </pic:spPr>
                </pic:pic>
              </a:graphicData>
            </a:graphic>
          </wp:inline>
        </w:drawing>
      </w:r>
    </w:p>
    <w:p w14:paraId="1BB3B315">
      <w:pPr>
        <w:ind w:firstLine="420"/>
        <w:jc w:val="center"/>
        <w:rPr>
          <w:rFonts w:ascii="仿宋" w:hAnsi="仿宋" w:eastAsia="仿宋" w:cs="仿宋"/>
          <w:sz w:val="30"/>
          <w:szCs w:val="30"/>
          <w:shd w:val="clear" w:color="auto" w:fill="FFFFFF"/>
        </w:rPr>
      </w:pPr>
      <w:r>
        <w:rPr>
          <w:rFonts w:hint="eastAsia" w:ascii="仿宋" w:hAnsi="仿宋" w:eastAsia="仿宋" w:cs="仿宋"/>
          <w:sz w:val="30"/>
          <w:szCs w:val="30"/>
          <w:shd w:val="clear" w:color="auto" w:fill="FFFFFF"/>
        </w:rPr>
        <w:t>图：数据安全综合场景赛答题页面</w:t>
      </w:r>
    </w:p>
    <w:p w14:paraId="55E181E2">
      <w:pPr>
        <w:pStyle w:val="2"/>
        <w:jc w:val="center"/>
        <w:rPr>
          <w:lang w:eastAsia="zh-CN"/>
        </w:rPr>
      </w:pPr>
      <w:r>
        <w:rPr>
          <w:lang w:eastAsia="zh-CN"/>
        </w:rPr>
        <w:drawing>
          <wp:inline distT="0" distB="0" distL="0" distR="0">
            <wp:extent cx="5274310" cy="2562860"/>
            <wp:effectExtent l="0" t="0" r="0" b="2540"/>
            <wp:docPr id="1476899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99200" name="图片 1"/>
                    <pic:cNvPicPr>
                      <a:picLocks noChangeAspect="1"/>
                    </pic:cNvPicPr>
                  </pic:nvPicPr>
                  <pic:blipFill>
                    <a:blip r:embed="rId8"/>
                    <a:stretch>
                      <a:fillRect/>
                    </a:stretch>
                  </pic:blipFill>
                  <pic:spPr>
                    <a:xfrm>
                      <a:off x="0" y="0"/>
                      <a:ext cx="5274310" cy="2562860"/>
                    </a:xfrm>
                    <a:prstGeom prst="rect">
                      <a:avLst/>
                    </a:prstGeom>
                  </pic:spPr>
                </pic:pic>
              </a:graphicData>
            </a:graphic>
          </wp:inline>
        </w:drawing>
      </w:r>
    </w:p>
    <w:p w14:paraId="4EF92A64">
      <w:pPr>
        <w:jc w:val="center"/>
        <w:rPr>
          <w:rFonts w:hint="eastAsia"/>
        </w:rPr>
      </w:pPr>
      <w:r>
        <w:drawing>
          <wp:inline distT="0" distB="0" distL="0" distR="0">
            <wp:extent cx="5274310" cy="2529205"/>
            <wp:effectExtent l="0" t="0" r="0" b="0"/>
            <wp:docPr id="904750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50026" name="图片 1"/>
                    <pic:cNvPicPr>
                      <a:picLocks noChangeAspect="1"/>
                    </pic:cNvPicPr>
                  </pic:nvPicPr>
                  <pic:blipFill>
                    <a:blip r:embed="rId9"/>
                    <a:stretch>
                      <a:fillRect/>
                    </a:stretch>
                  </pic:blipFill>
                  <pic:spPr>
                    <a:xfrm>
                      <a:off x="0" y="0"/>
                      <a:ext cx="5274310" cy="2529205"/>
                    </a:xfrm>
                    <a:prstGeom prst="rect">
                      <a:avLst/>
                    </a:prstGeom>
                  </pic:spPr>
                </pic:pic>
              </a:graphicData>
            </a:graphic>
          </wp:inline>
        </w:drawing>
      </w:r>
    </w:p>
    <w:p w14:paraId="2E3B8732">
      <w:pPr>
        <w:ind w:firstLine="300" w:firstLineChars="100"/>
        <w:jc w:val="center"/>
        <w:rPr>
          <w:rFonts w:ascii="仿宋" w:hAnsi="仿宋" w:eastAsia="仿宋" w:cs="仿宋"/>
          <w:sz w:val="30"/>
          <w:szCs w:val="30"/>
        </w:rPr>
      </w:pPr>
      <w:r>
        <w:rPr>
          <w:rFonts w:hint="eastAsia" w:ascii="仿宋" w:hAnsi="仿宋" w:eastAsia="仿宋" w:cs="仿宋"/>
          <w:sz w:val="30"/>
          <w:szCs w:val="30"/>
          <w:shd w:val="clear" w:color="auto" w:fill="FFFFFF"/>
        </w:rPr>
        <w:t>图：竞赛实时展示成绩页面主界面</w:t>
      </w:r>
      <w:r>
        <w:rPr>
          <w:rFonts w:hint="eastAsia" w:ascii="仿宋" w:hAnsi="仿宋" w:eastAsia="仿宋" w:cs="仿宋"/>
          <w:sz w:val="30"/>
          <w:szCs w:val="30"/>
        </w:rPr>
        <w:br w:type="page"/>
      </w:r>
    </w:p>
    <w:p w14:paraId="74FD5E32">
      <w:pPr>
        <w:spacing w:line="560" w:lineRule="exact"/>
        <w:ind w:firstLine="602" w:firstLineChars="200"/>
        <w:rPr>
          <w:rFonts w:ascii="仿宋" w:hAnsi="仿宋" w:eastAsia="仿宋" w:cs="仿宋"/>
          <w:sz w:val="30"/>
          <w:szCs w:val="30"/>
        </w:rPr>
      </w:pPr>
      <w:bookmarkStart w:id="8" w:name="_Toc167978177"/>
      <w:bookmarkStart w:id="9" w:name="_Toc15941"/>
      <w:r>
        <w:rPr>
          <w:rFonts w:hint="eastAsia" w:ascii="仿宋" w:hAnsi="仿宋" w:eastAsia="仿宋" w:cs="仿宋"/>
          <w:b/>
          <w:bCs/>
          <w:sz w:val="30"/>
          <w:szCs w:val="30"/>
        </w:rPr>
        <w:t>三、竞赛大纲</w:t>
      </w:r>
      <w:bookmarkEnd w:id="8"/>
      <w:bookmarkEnd w:id="9"/>
    </w:p>
    <w:p w14:paraId="42537789">
      <w:pPr>
        <w:pStyle w:val="15"/>
        <w:numPr>
          <w:ilvl w:val="0"/>
          <w:numId w:val="2"/>
        </w:numPr>
        <w:spacing w:line="560" w:lineRule="exact"/>
        <w:ind w:left="0" w:firstLine="612"/>
        <w:rPr>
          <w:rFonts w:ascii="仿宋" w:hAnsi="仿宋" w:eastAsia="仿宋" w:cs="仿宋"/>
          <w:b/>
          <w:bCs/>
          <w:color w:val="333333"/>
          <w:sz w:val="30"/>
          <w:szCs w:val="30"/>
          <w:shd w:val="clear" w:color="auto" w:fill="FFFFFF"/>
        </w:rPr>
      </w:pPr>
      <w:bookmarkStart w:id="10" w:name="_Toc507926509"/>
      <w:r>
        <w:rPr>
          <w:rFonts w:hint="eastAsia" w:ascii="仿宋" w:hAnsi="仿宋" w:eastAsia="仿宋" w:cs="仿宋"/>
          <w:b/>
          <w:bCs/>
          <w:color w:val="333333"/>
          <w:sz w:val="30"/>
          <w:szCs w:val="30"/>
          <w:shd w:val="clear" w:color="auto" w:fill="FFFFFF"/>
        </w:rPr>
        <w:t>政策法规和标准</w:t>
      </w:r>
      <w:bookmarkEnd w:id="10"/>
      <w:r>
        <w:rPr>
          <w:rFonts w:hint="eastAsia" w:ascii="仿宋" w:hAnsi="仿宋" w:eastAsia="仿宋" w:cs="仿宋"/>
          <w:b/>
          <w:bCs/>
          <w:color w:val="333333"/>
          <w:sz w:val="30"/>
          <w:szCs w:val="30"/>
          <w:shd w:val="clear" w:color="auto" w:fill="FFFFFF"/>
        </w:rPr>
        <w:t>体系</w:t>
      </w:r>
    </w:p>
    <w:p w14:paraId="7DF794F4">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掌握《中华人民共和国数据安全法》核心要求：数据分类分级制度、数据安全责任主体、数据安全风险评估与应急处置义务；</w:t>
      </w:r>
    </w:p>
    <w:p w14:paraId="616347D5">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熟悉《中华人民共和国个人信息保护法》关键条款：最小必要原则、告知同意规则、个人信息跨境提供的安全评估要求、敏感个人信息处理限制；</w:t>
      </w:r>
    </w:p>
    <w:p w14:paraId="7BDAFAE7">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了解《网络安全法》中与数据安全关联的内容；</w:t>
      </w:r>
    </w:p>
    <w:p w14:paraId="08A887AE">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掌握《关键信息基础设施安全保护条例》中涉及数据安全的要求；</w:t>
      </w:r>
    </w:p>
    <w:p w14:paraId="7C0A7E0F">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熟悉《数据安全法》配套法规（如《数据出境安全评估办法》《个人信息出境标准合同办法》）的具体实施要求。​</w:t>
      </w:r>
    </w:p>
    <w:p w14:paraId="22A423BE">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掌握国家标准：GB/T 43697-2024《数据安全技术 数据分类分级规则》、GB/T 37988-2019《信息安全技术 数据安全能力成熟度模型（DSMM）》等内容；</w:t>
      </w:r>
    </w:p>
    <w:p w14:paraId="094834C3">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熟悉行业标准：金融行业《金融数据安全 数据安全分级指南》（JR/T 0197-2020）、医疗行业《卫生信息安全等级保护管理办法》等内容；</w:t>
      </w:r>
    </w:p>
    <w:p w14:paraId="4836367A">
      <w:pPr>
        <w:spacing w:line="560" w:lineRule="exact"/>
        <w:ind w:firstLine="600" w:firstLineChars="200"/>
        <w:rPr>
          <w:rFonts w:ascii="仿宋" w:hAnsi="仿宋" w:eastAsia="仿宋" w:cs="仿宋"/>
          <w:sz w:val="30"/>
          <w:szCs w:val="30"/>
        </w:rPr>
      </w:pPr>
      <w:r>
        <w:rPr>
          <w:rFonts w:hint="eastAsia" w:ascii="仿宋" w:hAnsi="仿宋" w:eastAsia="仿宋" w:cs="仿宋"/>
          <w:color w:val="333333"/>
          <w:sz w:val="30"/>
          <w:szCs w:val="30"/>
          <w:shd w:val="clear" w:color="auto" w:fill="FFFFFF"/>
        </w:rPr>
        <w:t>了解国际标准：ISO/IEC 27001（信息安全管理体系）、ISO/IEC 27701（隐私信息管理体系）、NIST SP 800-64（数据安全生命周期管理）、GDPR（欧盟通用数据保护条例）核心要求。</w:t>
      </w:r>
    </w:p>
    <w:p w14:paraId="23C8E8B3">
      <w:pPr>
        <w:pStyle w:val="15"/>
        <w:numPr>
          <w:ilvl w:val="0"/>
          <w:numId w:val="2"/>
        </w:numPr>
        <w:spacing w:line="560" w:lineRule="exact"/>
        <w:ind w:left="0" w:firstLine="612"/>
        <w:rPr>
          <w:rFonts w:ascii="仿宋" w:hAnsi="仿宋" w:eastAsia="仿宋" w:cs="仿宋"/>
          <w:color w:val="333333"/>
          <w:sz w:val="30"/>
          <w:szCs w:val="30"/>
          <w:shd w:val="clear" w:color="auto" w:fill="FFFFFF"/>
        </w:rPr>
      </w:pPr>
      <w:r>
        <w:rPr>
          <w:rFonts w:hint="eastAsia" w:ascii="仿宋" w:hAnsi="仿宋" w:eastAsia="仿宋" w:cs="仿宋"/>
          <w:b/>
          <w:bCs/>
          <w:color w:val="333333"/>
          <w:sz w:val="30"/>
          <w:szCs w:val="30"/>
          <w:shd w:val="clear" w:color="auto" w:fill="FFFFFF"/>
        </w:rPr>
        <w:t>数据安全全生命周期管理</w:t>
      </w:r>
    </w:p>
    <w:p w14:paraId="1990DB53">
      <w:pPr>
        <w:pStyle w:val="15"/>
        <w:spacing w:line="560" w:lineRule="exact"/>
        <w:ind w:left="480" w:leftChars="200" w:firstLine="0" w:firstLineChars="0"/>
        <w:rPr>
          <w:rFonts w:ascii="仿宋" w:hAnsi="仿宋" w:eastAsia="仿宋" w:cs="仿宋"/>
          <w:color w:val="333333"/>
          <w:sz w:val="30"/>
          <w:szCs w:val="30"/>
          <w:shd w:val="clear" w:color="auto" w:fill="FFFFFF"/>
        </w:rPr>
      </w:pPr>
      <w:r>
        <w:rPr>
          <w:rFonts w:hint="eastAsia" w:ascii="仿宋" w:hAnsi="仿宋" w:eastAsia="仿宋" w:cs="仿宋"/>
          <w:b/>
          <w:bCs/>
          <w:color w:val="333333"/>
          <w:sz w:val="30"/>
          <w:szCs w:val="30"/>
          <w:shd w:val="clear" w:color="auto" w:fill="FFFFFF"/>
        </w:rPr>
        <w:t>1.数据采集阶段</w:t>
      </w:r>
      <w:r>
        <w:rPr>
          <w:rFonts w:hint="eastAsia" w:ascii="仿宋" w:hAnsi="仿宋" w:eastAsia="仿宋" w:cs="仿宋"/>
          <w:color w:val="333333"/>
          <w:sz w:val="30"/>
          <w:szCs w:val="30"/>
          <w:shd w:val="clear" w:color="auto" w:fill="FFFFFF"/>
        </w:rPr>
        <w:t>​​</w:t>
      </w:r>
    </w:p>
    <w:p w14:paraId="10D502C6">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掌握合规采集原则、熟悉采集风险点、能识别违规采集行为，掌握采集安全技术等。</w:t>
      </w:r>
    </w:p>
    <w:p w14:paraId="4A9829DA">
      <w:pPr>
        <w:spacing w:line="560" w:lineRule="exact"/>
        <w:ind w:firstLine="602" w:firstLineChars="200"/>
        <w:rPr>
          <w:rFonts w:ascii="仿宋" w:hAnsi="仿宋" w:eastAsia="仿宋" w:cs="仿宋"/>
          <w:color w:val="333333"/>
          <w:sz w:val="30"/>
          <w:szCs w:val="30"/>
          <w:shd w:val="clear" w:color="auto" w:fill="FFFFFF"/>
        </w:rPr>
      </w:pPr>
      <w:r>
        <w:rPr>
          <w:rFonts w:hint="eastAsia" w:ascii="仿宋" w:hAnsi="仿宋" w:eastAsia="仿宋" w:cs="仿宋"/>
          <w:b/>
          <w:bCs/>
          <w:color w:val="333333"/>
          <w:sz w:val="30"/>
          <w:szCs w:val="30"/>
          <w:shd w:val="clear" w:color="auto" w:fill="FFFFFF"/>
        </w:rPr>
        <w:t>2.数据传输阶段​​</w:t>
      </w:r>
    </w:p>
    <w:p w14:paraId="48056FD2">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熟悉传输风险、掌握传输安全技术、了解传输安全工具。</w:t>
      </w:r>
    </w:p>
    <w:p w14:paraId="103CB185">
      <w:pPr>
        <w:spacing w:line="560" w:lineRule="exact"/>
        <w:ind w:firstLine="602" w:firstLineChars="200"/>
        <w:rPr>
          <w:rFonts w:ascii="仿宋" w:hAnsi="仿宋" w:eastAsia="仿宋" w:cs="仿宋"/>
          <w:b/>
          <w:bCs/>
          <w:color w:val="333333"/>
          <w:sz w:val="30"/>
          <w:szCs w:val="30"/>
          <w:shd w:val="clear" w:color="auto" w:fill="FFFFFF"/>
        </w:rPr>
      </w:pPr>
      <w:r>
        <w:rPr>
          <w:rFonts w:hint="eastAsia" w:ascii="仿宋" w:hAnsi="仿宋" w:eastAsia="仿宋" w:cs="仿宋"/>
          <w:b/>
          <w:bCs/>
          <w:color w:val="333333"/>
          <w:sz w:val="30"/>
          <w:szCs w:val="30"/>
          <w:shd w:val="clear" w:color="auto" w:fill="FFFFFF"/>
        </w:rPr>
        <w:t>3.数据存储阶段​​</w:t>
      </w:r>
    </w:p>
    <w:p w14:paraId="364F981B">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掌握存储风险、熟悉存储安全技术、了解存储介质安全。</w:t>
      </w:r>
    </w:p>
    <w:p w14:paraId="4C0768D4">
      <w:pPr>
        <w:spacing w:line="560" w:lineRule="exact"/>
        <w:ind w:firstLine="602" w:firstLineChars="200"/>
        <w:rPr>
          <w:rFonts w:ascii="仿宋" w:hAnsi="仿宋" w:eastAsia="仿宋" w:cs="仿宋"/>
          <w:color w:val="333333"/>
          <w:sz w:val="30"/>
          <w:szCs w:val="30"/>
          <w:shd w:val="clear" w:color="auto" w:fill="FFFFFF"/>
        </w:rPr>
      </w:pPr>
      <w:r>
        <w:rPr>
          <w:rFonts w:hint="eastAsia" w:ascii="仿宋" w:hAnsi="仿宋" w:eastAsia="仿宋" w:cs="仿宋"/>
          <w:b/>
          <w:bCs/>
          <w:color w:val="333333"/>
          <w:sz w:val="30"/>
          <w:szCs w:val="30"/>
          <w:shd w:val="clear" w:color="auto" w:fill="FFFFFF"/>
        </w:rPr>
        <w:t>4.数据使用阶段​​</w:t>
      </w:r>
    </w:p>
    <w:p w14:paraId="499BC302">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掌握使用风险、熟悉使用安全技术、了解使用场景安全。</w:t>
      </w:r>
    </w:p>
    <w:p w14:paraId="6B25F732">
      <w:pPr>
        <w:spacing w:line="560" w:lineRule="exact"/>
        <w:ind w:firstLine="602" w:firstLineChars="200"/>
        <w:rPr>
          <w:rFonts w:ascii="仿宋" w:hAnsi="仿宋" w:eastAsia="仿宋" w:cs="仿宋"/>
          <w:color w:val="333333"/>
          <w:sz w:val="30"/>
          <w:szCs w:val="30"/>
          <w:shd w:val="clear" w:color="auto" w:fill="FFFFFF"/>
        </w:rPr>
      </w:pPr>
      <w:r>
        <w:rPr>
          <w:rFonts w:hint="eastAsia" w:ascii="仿宋" w:hAnsi="仿宋" w:eastAsia="仿宋" w:cs="仿宋"/>
          <w:b/>
          <w:bCs/>
          <w:color w:val="333333"/>
          <w:sz w:val="30"/>
          <w:szCs w:val="30"/>
          <w:shd w:val="clear" w:color="auto" w:fill="FFFFFF"/>
        </w:rPr>
        <w:t>5.数据共享与销毁阶段​​</w:t>
      </w:r>
    </w:p>
    <w:p w14:paraId="769F383E">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掌握共享风险、熟悉共享安全技术、掌握销毁风险、熟悉销毁安全技术。</w:t>
      </w:r>
    </w:p>
    <w:p w14:paraId="54BB0385">
      <w:pPr>
        <w:pStyle w:val="15"/>
        <w:numPr>
          <w:ilvl w:val="0"/>
          <w:numId w:val="2"/>
        </w:numPr>
        <w:spacing w:line="560" w:lineRule="exact"/>
        <w:ind w:left="0" w:firstLine="612"/>
        <w:rPr>
          <w:rFonts w:ascii="仿宋" w:hAnsi="仿宋" w:eastAsia="仿宋" w:cs="仿宋"/>
          <w:b/>
          <w:bCs/>
          <w:color w:val="333333"/>
          <w:sz w:val="30"/>
          <w:szCs w:val="30"/>
          <w:shd w:val="clear" w:color="auto" w:fill="FFFFFF"/>
        </w:rPr>
      </w:pPr>
      <w:r>
        <w:rPr>
          <w:rFonts w:hint="eastAsia" w:ascii="仿宋" w:hAnsi="仿宋" w:eastAsia="仿宋" w:cs="仿宋"/>
          <w:b/>
          <w:bCs/>
          <w:color w:val="333333"/>
          <w:sz w:val="30"/>
          <w:szCs w:val="30"/>
          <w:shd w:val="clear" w:color="auto" w:fill="FFFFFF"/>
        </w:rPr>
        <w:t>数据安全核心的技术</w:t>
      </w:r>
    </w:p>
    <w:p w14:paraId="79FCA5AA">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掌握分类分级方法、熟悉分类分级工具、能结合行业标准完成数据分类分级实战；</w:t>
      </w:r>
    </w:p>
    <w:p w14:paraId="1AEC1655">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掌握静态脱敏、动态脱敏技术，熟悉匿名化技术，能评估脱敏效果；​</w:t>
      </w:r>
    </w:p>
    <w:p w14:paraId="2595CA68">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掌握加密技术：对称加密（AES、SM4）、非对称加密（RSA、SM2）、同态加密（全同态/部分同态），熟悉隐私计算技术：</w:t>
      </w:r>
    </w:p>
    <w:p w14:paraId="58944B14">
      <w:pPr>
        <w:spacing w:line="560" w:lineRule="exact"/>
        <w:ind w:firstLine="600" w:firstLineChars="200"/>
        <w:rPr>
          <w:rFonts w:ascii="仿宋" w:hAnsi="仿宋" w:eastAsia="仿宋" w:cs="仿宋"/>
          <w:sz w:val="30"/>
          <w:szCs w:val="30"/>
        </w:rPr>
      </w:pPr>
      <w:r>
        <w:rPr>
          <w:rFonts w:hint="eastAsia" w:ascii="仿宋" w:hAnsi="仿宋" w:eastAsia="仿宋" w:cs="仿宋"/>
          <w:color w:val="333333"/>
          <w:sz w:val="30"/>
          <w:szCs w:val="30"/>
          <w:shd w:val="clear" w:color="auto" w:fill="FFFFFF"/>
        </w:rPr>
        <w:t>掌握DLP核心技术、熟悉DLP工具部署、能分析DLP误报/漏报场景。</w:t>
      </w:r>
    </w:p>
    <w:p w14:paraId="2904B716">
      <w:pPr>
        <w:pStyle w:val="15"/>
        <w:numPr>
          <w:ilvl w:val="0"/>
          <w:numId w:val="2"/>
        </w:numPr>
        <w:spacing w:line="560" w:lineRule="exact"/>
        <w:ind w:left="0" w:firstLine="612"/>
        <w:rPr>
          <w:rFonts w:ascii="仿宋" w:hAnsi="仿宋" w:eastAsia="仿宋" w:cs="仿宋"/>
          <w:b/>
          <w:bCs/>
          <w:color w:val="333333"/>
          <w:sz w:val="30"/>
          <w:szCs w:val="30"/>
          <w:shd w:val="clear" w:color="auto" w:fill="FFFFFF"/>
        </w:rPr>
      </w:pPr>
      <w:r>
        <w:rPr>
          <w:rFonts w:hint="eastAsia" w:ascii="仿宋" w:hAnsi="仿宋" w:eastAsia="仿宋" w:cs="仿宋"/>
          <w:b/>
          <w:bCs/>
          <w:color w:val="333333"/>
          <w:sz w:val="30"/>
          <w:szCs w:val="30"/>
          <w:shd w:val="clear" w:color="auto" w:fill="FFFFFF"/>
        </w:rPr>
        <w:t>人工智能安全技术基础​</w:t>
      </w:r>
    </w:p>
    <w:p w14:paraId="335FB5B7">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熟悉机器学习（监督/无监督/强化学习）、深度学习（CNN、RNN、Transformer）的核心原理与安全风险点；</w:t>
      </w:r>
    </w:p>
    <w:p w14:paraId="0648464D">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掌握隐私计算技术（联邦学习、安全多方计算、同态加密）在AI中的应用场景（如跨机构联合建模、敏感数据协同分析）；</w:t>
      </w:r>
    </w:p>
    <w:p w14:paraId="08C2A547">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了解AI伦理与安全的关系（如算法偏见导致的歧视性决策、生成式AI的虚假信息传播风险）。</w:t>
      </w:r>
    </w:p>
    <w:p w14:paraId="1B482853">
      <w:pPr>
        <w:pStyle w:val="15"/>
        <w:numPr>
          <w:ilvl w:val="0"/>
          <w:numId w:val="2"/>
        </w:numPr>
        <w:spacing w:line="560" w:lineRule="exact"/>
        <w:ind w:left="0" w:firstLine="612"/>
        <w:rPr>
          <w:rFonts w:ascii="仿宋" w:hAnsi="仿宋" w:eastAsia="仿宋" w:cs="仿宋"/>
          <w:b/>
          <w:bCs/>
          <w:color w:val="333333"/>
          <w:sz w:val="30"/>
          <w:szCs w:val="30"/>
          <w:shd w:val="clear" w:color="auto" w:fill="FFFFFF"/>
        </w:rPr>
      </w:pPr>
      <w:r>
        <w:rPr>
          <w:rFonts w:hint="eastAsia" w:ascii="仿宋" w:hAnsi="仿宋" w:eastAsia="仿宋" w:cs="仿宋"/>
          <w:b/>
          <w:bCs/>
          <w:color w:val="333333"/>
          <w:sz w:val="30"/>
          <w:szCs w:val="30"/>
          <w:shd w:val="clear" w:color="auto" w:fill="FFFFFF"/>
        </w:rPr>
        <w:t>人工智能安全技术核心​</w:t>
      </w:r>
    </w:p>
    <w:p w14:paraId="23A5B90A">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lang w:eastAsia="zh-CN"/>
        </w:rPr>
        <w:t>掌</w:t>
      </w:r>
      <w:r>
        <w:rPr>
          <w:rFonts w:hint="eastAsia" w:ascii="仿宋" w:hAnsi="仿宋" w:eastAsia="仿宋" w:cs="仿宋"/>
          <w:color w:val="333333"/>
          <w:sz w:val="30"/>
          <w:szCs w:val="30"/>
          <w:shd w:val="clear" w:color="auto" w:fill="FFFFFF"/>
        </w:rPr>
        <w:t>握对抗样本攻击（白盒/黑盒）与防御（对抗训练、随机平滑）、模型鲁棒性评估；</w:t>
      </w:r>
    </w:p>
    <w:p w14:paraId="10B82E0C">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熟悉训练数据清洗（</w:t>
      </w:r>
      <w:bookmarkStart w:id="16" w:name="_GoBack"/>
      <w:bookmarkEnd w:id="16"/>
      <w:r>
        <w:rPr>
          <w:rFonts w:hint="eastAsia" w:ascii="仿宋" w:hAnsi="仿宋" w:eastAsia="仿宋" w:cs="仿宋"/>
          <w:color w:val="333333"/>
          <w:sz w:val="30"/>
          <w:szCs w:val="30"/>
          <w:shd w:val="clear" w:color="auto" w:fill="FFFFFF"/>
        </w:rPr>
        <w:t>异常值检测、重复数据删除）、隐私保护（差分隐私在NLP/CV中的应用）、模型输出脱敏；</w:t>
      </w:r>
    </w:p>
    <w:p w14:paraId="4564BFE8">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掌握大模型提示注入攻击（Prompt Injection）、越狱攻击（Jailbreak）的检测与防御（如指令微调、内容过滤）；</w:t>
      </w:r>
    </w:p>
    <w:p w14:paraId="21DC86E7">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熟练使用AI安全工具（对抗样本生成工具Foolbox、模型评估工具IBM AIF360、隐私计算框架FATE）。</w:t>
      </w:r>
    </w:p>
    <w:p w14:paraId="3811507B">
      <w:pPr>
        <w:pStyle w:val="15"/>
        <w:numPr>
          <w:ilvl w:val="0"/>
          <w:numId w:val="2"/>
        </w:numPr>
        <w:spacing w:line="560" w:lineRule="exact"/>
        <w:ind w:left="0" w:firstLine="612"/>
        <w:rPr>
          <w:rFonts w:ascii="仿宋" w:hAnsi="仿宋" w:eastAsia="仿宋" w:cs="仿宋"/>
          <w:b/>
          <w:bCs/>
          <w:color w:val="333333"/>
          <w:sz w:val="30"/>
          <w:szCs w:val="30"/>
          <w:shd w:val="clear" w:color="auto" w:fill="FFFFFF"/>
        </w:rPr>
      </w:pPr>
      <w:bookmarkStart w:id="11" w:name="_Toc507926513"/>
      <w:r>
        <w:rPr>
          <w:rFonts w:hint="eastAsia" w:ascii="仿宋" w:hAnsi="仿宋" w:eastAsia="仿宋" w:cs="仿宋"/>
          <w:b/>
          <w:bCs/>
          <w:color w:val="333333"/>
          <w:sz w:val="30"/>
          <w:szCs w:val="30"/>
          <w:shd w:val="clear" w:color="auto" w:fill="FFFFFF"/>
        </w:rPr>
        <w:t>其他</w:t>
      </w:r>
      <w:bookmarkEnd w:id="11"/>
    </w:p>
    <w:p w14:paraId="4482A7F9">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熟悉密码技术的概念、加密体制的分类、常见加密方式、密码协议与密码分析工具的利用；</w:t>
      </w:r>
    </w:p>
    <w:p w14:paraId="0A9041A5">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 xml:space="preserve">熟悉物联网、工业控制、无线、网络设备等相关方面的安全问题； </w:t>
      </w:r>
    </w:p>
    <w:p w14:paraId="529947A3">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熟悉移动互联网恶意程序监测与处置机制，掌握移动应用的逆向分析和代码审计技术、移动应用的安全防护方法等；</w:t>
      </w:r>
    </w:p>
    <w:p w14:paraId="0F430E3C">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掌握常见协议分析工具的使用，常见数据包分析方法；</w:t>
      </w:r>
    </w:p>
    <w:p w14:paraId="4995D98F">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熟练使用数据恢复的常用技术等相关知识点内容；</w:t>
      </w:r>
    </w:p>
    <w:p w14:paraId="5166313B">
      <w:pPr>
        <w:spacing w:line="560" w:lineRule="exact"/>
        <w:ind w:firstLine="600" w:firstLineChars="200"/>
        <w:rPr>
          <w:rFonts w:ascii="仿宋" w:hAnsi="仿宋" w:eastAsia="仿宋" w:cs="仿宋"/>
          <w:color w:val="333333"/>
          <w:sz w:val="30"/>
          <w:szCs w:val="30"/>
          <w:shd w:val="clear" w:color="auto" w:fill="FFFFFF"/>
        </w:rPr>
      </w:pPr>
      <w:r>
        <w:rPr>
          <w:rFonts w:hint="eastAsia" w:ascii="仿宋" w:hAnsi="仿宋" w:eastAsia="仿宋" w:cs="仿宋"/>
          <w:color w:val="333333"/>
          <w:sz w:val="30"/>
          <w:szCs w:val="30"/>
          <w:shd w:val="clear" w:color="auto" w:fill="FFFFFF"/>
        </w:rPr>
        <w:t>熟悉恶意代码的识别方法及防护措施。能运用相关技术发现、隔离、清除常见恶意代码；并能对常见恶意代码进行逆向分析。</w:t>
      </w:r>
    </w:p>
    <w:p w14:paraId="041CBFA0">
      <w:pPr>
        <w:spacing w:line="560" w:lineRule="exact"/>
        <w:ind w:firstLine="602" w:firstLineChars="200"/>
        <w:rPr>
          <w:rFonts w:ascii="仿宋" w:hAnsi="仿宋" w:eastAsia="仿宋" w:cs="仿宋"/>
          <w:b/>
          <w:bCs/>
          <w:sz w:val="30"/>
          <w:szCs w:val="30"/>
        </w:rPr>
      </w:pPr>
      <w:bookmarkStart w:id="12" w:name="_Toc5453"/>
      <w:bookmarkStart w:id="13" w:name="_Toc167978178"/>
      <w:r>
        <w:rPr>
          <w:rFonts w:hint="eastAsia" w:ascii="仿宋" w:hAnsi="仿宋" w:eastAsia="仿宋" w:cs="仿宋"/>
          <w:b/>
          <w:bCs/>
          <w:sz w:val="30"/>
          <w:szCs w:val="30"/>
        </w:rPr>
        <w:t>四、竞赛说明</w:t>
      </w:r>
      <w:bookmarkEnd w:id="12"/>
      <w:bookmarkEnd w:id="13"/>
    </w:p>
    <w:p w14:paraId="5263BD0B">
      <w:pPr>
        <w:numPr>
          <w:ilvl w:val="0"/>
          <w:numId w:val="3"/>
        </w:numPr>
        <w:spacing w:line="560" w:lineRule="exact"/>
        <w:ind w:firstLine="0"/>
        <w:rPr>
          <w:rFonts w:ascii="仿宋" w:hAnsi="仿宋" w:eastAsia="仿宋" w:cs="仿宋"/>
          <w:b/>
          <w:bCs/>
          <w:sz w:val="30"/>
          <w:szCs w:val="30"/>
        </w:rPr>
      </w:pPr>
      <w:bookmarkStart w:id="14" w:name="_Toc167978179"/>
      <w:r>
        <w:rPr>
          <w:rFonts w:hint="eastAsia" w:ascii="仿宋" w:hAnsi="仿宋" w:eastAsia="仿宋" w:cs="仿宋"/>
          <w:b/>
          <w:bCs/>
          <w:sz w:val="30"/>
          <w:szCs w:val="30"/>
        </w:rPr>
        <w:t xml:space="preserve"> 竞赛须知</w:t>
      </w:r>
      <w:bookmarkEnd w:id="14"/>
    </w:p>
    <w:p w14:paraId="26F3F13C">
      <w:pPr>
        <w:numPr>
          <w:ilvl w:val="0"/>
          <w:numId w:val="0"/>
        </w:numPr>
        <w:adjustRightInd w:val="0"/>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请使用Firefox或者Chrome浏览器访问竞赛平台，其他</w:t>
      </w:r>
    </w:p>
    <w:p w14:paraId="67847343">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浏览器暂不兼容，可能会导致页面错位，无法提交Flag值。</w:t>
      </w:r>
    </w:p>
    <w:p w14:paraId="3BB2E1B3">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使用浏览器访问竞赛平台时，请勿给浏览器设置代理，否</w:t>
      </w:r>
    </w:p>
    <w:p w14:paraId="10E850E7">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 xml:space="preserve">则Flag将无法提交验证。 </w:t>
      </w:r>
    </w:p>
    <w:p w14:paraId="5DF40888">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理论答题每一道题一次作答机会，提交答案后不可更改答</w:t>
      </w:r>
    </w:p>
    <w:p w14:paraId="11F38641">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案，可以先跳过不答，每道理论题都需要提交答案进行验证判分。</w:t>
      </w:r>
    </w:p>
    <w:p w14:paraId="52901A15">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严禁利用扫描器对竞赛平台进行恶意扫描、或对竞赛平台</w:t>
      </w:r>
    </w:p>
    <w:p w14:paraId="27DCAB43">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发起DDoS攻击。一经发现即刻封锁账号，取消参赛资格。</w:t>
      </w:r>
    </w:p>
    <w:p w14:paraId="36323EC1">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请勿利用手机、互联网相互通讯，禁止交流讨论，协同作</w:t>
      </w:r>
    </w:p>
    <w:p w14:paraId="1CAC1231">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答。</w:t>
      </w:r>
    </w:p>
    <w:p w14:paraId="50ADB8BE">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如果对竞赛平台有疑问，或者对考题有疑义，或者其它与</w:t>
      </w:r>
    </w:p>
    <w:p w14:paraId="066AABF6">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竞赛相关的事宜，请举手示意，切勿大声呼喊。</w:t>
      </w:r>
    </w:p>
    <w:p w14:paraId="6C0B1957">
      <w:pPr>
        <w:numPr>
          <w:ilvl w:val="0"/>
          <w:numId w:val="3"/>
        </w:numPr>
        <w:spacing w:line="560" w:lineRule="exact"/>
        <w:ind w:firstLine="0"/>
        <w:rPr>
          <w:rFonts w:ascii="仿宋" w:hAnsi="仿宋" w:eastAsia="仿宋" w:cs="仿宋"/>
          <w:b/>
          <w:bCs/>
          <w:sz w:val="30"/>
          <w:szCs w:val="30"/>
        </w:rPr>
      </w:pPr>
      <w:bookmarkStart w:id="15" w:name="_Toc167978180"/>
      <w:r>
        <w:rPr>
          <w:rFonts w:hint="eastAsia" w:ascii="仿宋" w:hAnsi="仿宋" w:eastAsia="仿宋" w:cs="仿宋"/>
          <w:b/>
          <w:bCs/>
          <w:sz w:val="30"/>
          <w:szCs w:val="30"/>
        </w:rPr>
        <w:t xml:space="preserve"> 竞赛纪律（线下决赛）</w:t>
      </w:r>
      <w:bookmarkEnd w:id="15"/>
    </w:p>
    <w:p w14:paraId="5D5BC557">
      <w:pPr>
        <w:numPr>
          <w:ilvl w:val="0"/>
          <w:numId w:val="0"/>
        </w:numPr>
        <w:adjustRightInd w:val="0"/>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参赛队伍自行携带笔记本电脑、有线鼠标、RJ54网口转接头、键盘和本人身份证原件进入赛场，提前准备相关知识库与工具；</w:t>
      </w:r>
    </w:p>
    <w:p w14:paraId="3CE01A8D">
      <w:pPr>
        <w:numPr>
          <w:ilvl w:val="0"/>
          <w:numId w:val="0"/>
        </w:numPr>
        <w:adjustRightInd w:val="0"/>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参赛队伍在竞赛开始前60分钟签到，竞赛正式开始后迟到者（迟到15分钟及以上）将不得进入竞赛场地；</w:t>
      </w:r>
    </w:p>
    <w:p w14:paraId="3718BCA0">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竞赛座位按照事先分派决定，正式竞赛期间参赛选手不得</w:t>
      </w:r>
    </w:p>
    <w:p w14:paraId="05838E15">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擅自离开竞赛座位，应举手请示工作人员，得到同意后方可离开自己竞赛座位；</w:t>
      </w:r>
    </w:p>
    <w:p w14:paraId="0E0B70FD">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竞赛开始前选手先测试网络是否正常，是否能够正常访问</w:t>
      </w:r>
    </w:p>
    <w:p w14:paraId="77B142AB">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比赛平台，如果无法正常访问比赛平台应及时举手等待现场工作人员帮助；</w:t>
      </w:r>
    </w:p>
    <w:p w14:paraId="1C943451">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竞赛开始前选手手机一律上缴，由举办方暂时保管，比赛</w:t>
      </w:r>
    </w:p>
    <w:p w14:paraId="3834BC1A">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结束后有秩序地领回自己手机。上缴前需提前安排好自身工作，若因手机上缴而影响个人工作导致重大后果的，举办方一律不承担相关责任；竞赛过程中，如果发现选手将手机带入考场座位，按作弊处理。</w:t>
      </w:r>
      <w:r>
        <w:rPr>
          <w:rFonts w:hint="eastAsia" w:ascii="仿宋" w:hAnsi="仿宋" w:eastAsia="仿宋" w:cs="仿宋"/>
          <w:sz w:val="30"/>
          <w:szCs w:val="30"/>
        </w:rPr>
        <w:tab/>
      </w:r>
    </w:p>
    <w:p w14:paraId="6B4F4613">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竞赛过程中禁止选手接入互联网，禁止通过互联网查找资</w:t>
      </w:r>
    </w:p>
    <w:p w14:paraId="34703F2A">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料，禁止通过任何形式寻求网络外援远程协助答题，发现违规者一律取消参赛资格；</w:t>
      </w:r>
    </w:p>
    <w:p w14:paraId="014BA9D0">
      <w:pPr>
        <w:numPr>
          <w:ilvl w:val="0"/>
          <w:numId w:val="0"/>
        </w:numPr>
        <w:adjustRightInd w:val="0"/>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比赛过程中禁止使用通用防御脚本/工具防御对手攻击，</w:t>
      </w:r>
    </w:p>
    <w:p w14:paraId="7147FCD6">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一旦被检测并查实使用通用防御则进行扣分并警告，经警告3次仍然不撤销通用防御队伍决赛记0分；</w:t>
      </w:r>
    </w:p>
    <w:p w14:paraId="79053010">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竞赛过程中或竞赛后如有任何问题（包括反映竞赛或其它</w:t>
      </w:r>
    </w:p>
    <w:p w14:paraId="3B097068">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问题），应立即举手示意，等待现场工作人员帮助；</w:t>
      </w:r>
    </w:p>
    <w:p w14:paraId="2CE31A31">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比赛过程中，不同队伍之间不允许以任何形式相互讨论、</w:t>
      </w:r>
    </w:p>
    <w:p w14:paraId="7F5D6109">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交流、合作、分享资料，一经发现直接取消比赛资格，相关队伍立刻离场；</w:t>
      </w:r>
    </w:p>
    <w:p w14:paraId="5C8EA8CC">
      <w:pPr>
        <w:numPr>
          <w:ilvl w:val="0"/>
          <w:numId w:val="0"/>
        </w:numPr>
        <w:adjustRightInd w:val="0"/>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10.</w:t>
      </w:r>
      <w:r>
        <w:rPr>
          <w:rFonts w:hint="eastAsia" w:ascii="仿宋" w:hAnsi="仿宋" w:eastAsia="仿宋" w:cs="仿宋"/>
          <w:sz w:val="30"/>
          <w:szCs w:val="30"/>
        </w:rPr>
        <w:t>任何时候禁止攻击裁判服务器，否则将判令停止比赛，</w:t>
      </w:r>
    </w:p>
    <w:p w14:paraId="142E7A7C">
      <w:pPr>
        <w:numPr>
          <w:ilvl w:val="0"/>
          <w:numId w:val="0"/>
        </w:numPr>
        <w:adjustRightInd w:val="0"/>
        <w:snapToGrid w:val="0"/>
        <w:spacing w:line="560" w:lineRule="exact"/>
        <w:rPr>
          <w:rFonts w:ascii="仿宋" w:hAnsi="仿宋" w:eastAsia="仿宋" w:cs="仿宋"/>
          <w:sz w:val="30"/>
          <w:szCs w:val="30"/>
        </w:rPr>
      </w:pPr>
      <w:r>
        <w:rPr>
          <w:rFonts w:hint="eastAsia" w:ascii="仿宋" w:hAnsi="仿宋" w:eastAsia="仿宋" w:cs="仿宋"/>
          <w:sz w:val="30"/>
          <w:szCs w:val="30"/>
        </w:rPr>
        <w:t>决赛分数为0分；</w:t>
      </w:r>
    </w:p>
    <w:p w14:paraId="40FE5BAB">
      <w:pPr>
        <w:numPr>
          <w:ilvl w:val="0"/>
          <w:numId w:val="0"/>
        </w:numPr>
        <w:adjustRightInd w:val="0"/>
        <w:snapToGrid w:val="0"/>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11.</w:t>
      </w:r>
      <w:r>
        <w:rPr>
          <w:rFonts w:hint="eastAsia" w:ascii="仿宋" w:hAnsi="仿宋" w:eastAsia="仿宋" w:cs="仿宋"/>
          <w:sz w:val="30"/>
          <w:szCs w:val="30"/>
        </w:rPr>
        <w:t>比赛过程中应遵守赛场秩序，禁止大声喧哗影响其他队伍比赛；</w:t>
      </w:r>
    </w:p>
    <w:p w14:paraId="71925AC5">
      <w:pPr>
        <w:numPr>
          <w:ilvl w:val="0"/>
          <w:numId w:val="0"/>
        </w:numPr>
        <w:adjustRightInd w:val="0"/>
        <w:snapToGrid w:val="0"/>
        <w:spacing w:line="5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12.比赛过程中以及比赛结束后裁判有权抽查参赛选手解题方法/得分思路，如果发现回答有误，疑似通过作弊获得分数将对参赛选手扣分，严重者取消参赛资格；</w:t>
      </w:r>
    </w:p>
    <w:p w14:paraId="3F382C3D">
      <w:pPr>
        <w:numPr>
          <w:ilvl w:val="0"/>
          <w:numId w:val="0"/>
        </w:numPr>
        <w:adjustRightInd w:val="0"/>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13.</w:t>
      </w:r>
      <w:r>
        <w:rPr>
          <w:rFonts w:hint="eastAsia" w:ascii="仿宋" w:hAnsi="仿宋" w:eastAsia="仿宋" w:cs="仿宋"/>
          <w:sz w:val="30"/>
          <w:szCs w:val="30"/>
        </w:rPr>
        <w:t>裁判组将视情况对违反比赛纪律的行为采取禁赛、取消比赛成绩等处罚措施，情节严重者将在行业内通报。</w:t>
      </w:r>
    </w:p>
    <w:bookmarkEnd w:id="2"/>
    <w:p w14:paraId="0043EC12">
      <w:pPr>
        <w:rPr>
          <w:rFonts w:ascii="仿宋" w:hAnsi="仿宋" w:eastAsia="仿宋" w:cs="仿宋"/>
          <w:sz w:val="30"/>
          <w:szCs w:val="30"/>
        </w:rPr>
      </w:pPr>
    </w:p>
    <w:sectPr>
      <w:pgSz w:w="11906" w:h="16838"/>
      <w:pgMar w:top="1440" w:right="1800" w:bottom="1440" w:left="1800" w:header="964"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1F3E65"/>
    <w:multiLevelType w:val="singleLevel"/>
    <w:tmpl w:val="E91F3E65"/>
    <w:lvl w:ilvl="0" w:tentative="0">
      <w:start w:val="1"/>
      <w:numFmt w:val="chineseCounting"/>
      <w:suff w:val="nothing"/>
      <w:lvlText w:val="（%1）"/>
      <w:lvlJc w:val="left"/>
      <w:pPr>
        <w:ind w:left="420" w:firstLine="420"/>
      </w:pPr>
      <w:rPr>
        <w:rFonts w:hint="eastAsia"/>
      </w:rPr>
    </w:lvl>
  </w:abstractNum>
  <w:abstractNum w:abstractNumId="1">
    <w:nsid w:val="FFAF8F1A"/>
    <w:multiLevelType w:val="singleLevel"/>
    <w:tmpl w:val="FFAF8F1A"/>
    <w:lvl w:ilvl="0" w:tentative="0">
      <w:start w:val="2"/>
      <w:numFmt w:val="chineseCounting"/>
      <w:suff w:val="nothing"/>
      <w:lvlText w:val="（%1）"/>
      <w:lvlJc w:val="left"/>
      <w:rPr>
        <w:rFonts w:hint="eastAsia"/>
      </w:rPr>
    </w:lvl>
  </w:abstractNum>
  <w:abstractNum w:abstractNumId="2">
    <w:nsid w:val="587F3B18"/>
    <w:multiLevelType w:val="multilevel"/>
    <w:tmpl w:val="587F3B1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1YzdkOGYzMzFjZDExZjQzY2I3NDhhMDdkMmJiZjYifQ=="/>
  </w:docVars>
  <w:rsids>
    <w:rsidRoot w:val="00D9242B"/>
    <w:rsid w:val="001B7615"/>
    <w:rsid w:val="002F7208"/>
    <w:rsid w:val="003044C9"/>
    <w:rsid w:val="00776518"/>
    <w:rsid w:val="008D1BD1"/>
    <w:rsid w:val="00955840"/>
    <w:rsid w:val="00B15505"/>
    <w:rsid w:val="00D15411"/>
    <w:rsid w:val="00D9242B"/>
    <w:rsid w:val="00E0172D"/>
    <w:rsid w:val="00E434F5"/>
    <w:rsid w:val="01CD0351"/>
    <w:rsid w:val="025B2DC4"/>
    <w:rsid w:val="029C1412"/>
    <w:rsid w:val="029D33DC"/>
    <w:rsid w:val="03451AAA"/>
    <w:rsid w:val="0388408C"/>
    <w:rsid w:val="04206073"/>
    <w:rsid w:val="045A3333"/>
    <w:rsid w:val="04640655"/>
    <w:rsid w:val="04B54A0D"/>
    <w:rsid w:val="05A30D0A"/>
    <w:rsid w:val="05B747B5"/>
    <w:rsid w:val="05BC1DCB"/>
    <w:rsid w:val="05DD06BF"/>
    <w:rsid w:val="06593029"/>
    <w:rsid w:val="067D77AC"/>
    <w:rsid w:val="06B34F7C"/>
    <w:rsid w:val="06B86A37"/>
    <w:rsid w:val="073C04EF"/>
    <w:rsid w:val="074E4EB4"/>
    <w:rsid w:val="077D2EC5"/>
    <w:rsid w:val="07D948ED"/>
    <w:rsid w:val="08191757"/>
    <w:rsid w:val="082343D6"/>
    <w:rsid w:val="08793FA4"/>
    <w:rsid w:val="08A454C4"/>
    <w:rsid w:val="08D44FBA"/>
    <w:rsid w:val="09246605"/>
    <w:rsid w:val="09AB1135"/>
    <w:rsid w:val="09F63434"/>
    <w:rsid w:val="09F63AFE"/>
    <w:rsid w:val="0A2763AD"/>
    <w:rsid w:val="0A9450C5"/>
    <w:rsid w:val="0B0554D5"/>
    <w:rsid w:val="0B0E546C"/>
    <w:rsid w:val="0BF91683"/>
    <w:rsid w:val="0C4578DA"/>
    <w:rsid w:val="0C917B0E"/>
    <w:rsid w:val="0CBA3508"/>
    <w:rsid w:val="0CC47EE3"/>
    <w:rsid w:val="0CFF716D"/>
    <w:rsid w:val="0D1F336B"/>
    <w:rsid w:val="0D2210AE"/>
    <w:rsid w:val="0D8A34B8"/>
    <w:rsid w:val="0DF26CD2"/>
    <w:rsid w:val="0DFC545B"/>
    <w:rsid w:val="0E2C21E4"/>
    <w:rsid w:val="0E792F4F"/>
    <w:rsid w:val="0F72637D"/>
    <w:rsid w:val="0F903E39"/>
    <w:rsid w:val="0FC71A98"/>
    <w:rsid w:val="103D5A30"/>
    <w:rsid w:val="10C64690"/>
    <w:rsid w:val="10E02E12"/>
    <w:rsid w:val="11275EF3"/>
    <w:rsid w:val="12DC585B"/>
    <w:rsid w:val="134B7D96"/>
    <w:rsid w:val="13B2334D"/>
    <w:rsid w:val="13E1581F"/>
    <w:rsid w:val="13EC7D20"/>
    <w:rsid w:val="141D2158"/>
    <w:rsid w:val="1437543F"/>
    <w:rsid w:val="14587163"/>
    <w:rsid w:val="14A14FAE"/>
    <w:rsid w:val="14AA1ABA"/>
    <w:rsid w:val="14B44CE1"/>
    <w:rsid w:val="161517B0"/>
    <w:rsid w:val="165C118C"/>
    <w:rsid w:val="167B61DA"/>
    <w:rsid w:val="1683496B"/>
    <w:rsid w:val="16BE59A3"/>
    <w:rsid w:val="171C091C"/>
    <w:rsid w:val="176746CB"/>
    <w:rsid w:val="17AF79E2"/>
    <w:rsid w:val="18953996"/>
    <w:rsid w:val="190D676E"/>
    <w:rsid w:val="19134222"/>
    <w:rsid w:val="1921046B"/>
    <w:rsid w:val="19241D0A"/>
    <w:rsid w:val="192835A8"/>
    <w:rsid w:val="19782558"/>
    <w:rsid w:val="19EE17C2"/>
    <w:rsid w:val="19F353A9"/>
    <w:rsid w:val="1A3366A8"/>
    <w:rsid w:val="1A4245C3"/>
    <w:rsid w:val="1AB62E35"/>
    <w:rsid w:val="1B361B5B"/>
    <w:rsid w:val="1BBE6445"/>
    <w:rsid w:val="1C4F709D"/>
    <w:rsid w:val="1C71170A"/>
    <w:rsid w:val="1CBB4733"/>
    <w:rsid w:val="1CD04682"/>
    <w:rsid w:val="1DF93765"/>
    <w:rsid w:val="1DFD14A7"/>
    <w:rsid w:val="1E1B3937"/>
    <w:rsid w:val="1E8474D2"/>
    <w:rsid w:val="1F0A3F2F"/>
    <w:rsid w:val="1F2667DB"/>
    <w:rsid w:val="1F6966C8"/>
    <w:rsid w:val="1FE733C2"/>
    <w:rsid w:val="20213E28"/>
    <w:rsid w:val="203F6A83"/>
    <w:rsid w:val="20601879"/>
    <w:rsid w:val="209A3825"/>
    <w:rsid w:val="212C3E51"/>
    <w:rsid w:val="21333432"/>
    <w:rsid w:val="216709AD"/>
    <w:rsid w:val="222D64D4"/>
    <w:rsid w:val="22723E3F"/>
    <w:rsid w:val="229E497C"/>
    <w:rsid w:val="22AA5F7F"/>
    <w:rsid w:val="233F4AA6"/>
    <w:rsid w:val="23952182"/>
    <w:rsid w:val="23B1063E"/>
    <w:rsid w:val="23C6058D"/>
    <w:rsid w:val="243C43AB"/>
    <w:rsid w:val="24455838"/>
    <w:rsid w:val="246D6C5B"/>
    <w:rsid w:val="24BE3012"/>
    <w:rsid w:val="252C08C4"/>
    <w:rsid w:val="252F5CBE"/>
    <w:rsid w:val="25387269"/>
    <w:rsid w:val="2539326B"/>
    <w:rsid w:val="254A0D4A"/>
    <w:rsid w:val="25741993"/>
    <w:rsid w:val="25DA20CE"/>
    <w:rsid w:val="261260FE"/>
    <w:rsid w:val="26AA1AA0"/>
    <w:rsid w:val="26DE174A"/>
    <w:rsid w:val="26EB3E67"/>
    <w:rsid w:val="270E1DFE"/>
    <w:rsid w:val="2769342A"/>
    <w:rsid w:val="28620159"/>
    <w:rsid w:val="28CD7646"/>
    <w:rsid w:val="28FC70A7"/>
    <w:rsid w:val="28FD67FF"/>
    <w:rsid w:val="2A027E45"/>
    <w:rsid w:val="2A5E0629"/>
    <w:rsid w:val="2AA64C74"/>
    <w:rsid w:val="2BE5357A"/>
    <w:rsid w:val="2BFC7A4C"/>
    <w:rsid w:val="2C163734"/>
    <w:rsid w:val="2C9C1E8B"/>
    <w:rsid w:val="2CD77367"/>
    <w:rsid w:val="2CDB527D"/>
    <w:rsid w:val="2D0363AE"/>
    <w:rsid w:val="2D746A0E"/>
    <w:rsid w:val="2D776454"/>
    <w:rsid w:val="2D7A1909"/>
    <w:rsid w:val="2DA07759"/>
    <w:rsid w:val="2E652F0D"/>
    <w:rsid w:val="2EEE2BF6"/>
    <w:rsid w:val="2F1653CE"/>
    <w:rsid w:val="2F3E4062"/>
    <w:rsid w:val="2F5B2EC0"/>
    <w:rsid w:val="2F713AA3"/>
    <w:rsid w:val="2F725125"/>
    <w:rsid w:val="2FF40230"/>
    <w:rsid w:val="300A35B0"/>
    <w:rsid w:val="300C23F5"/>
    <w:rsid w:val="30103954"/>
    <w:rsid w:val="30CB2D3F"/>
    <w:rsid w:val="311C359A"/>
    <w:rsid w:val="313B4368"/>
    <w:rsid w:val="31530BE6"/>
    <w:rsid w:val="316A07AA"/>
    <w:rsid w:val="317653A0"/>
    <w:rsid w:val="317E24A7"/>
    <w:rsid w:val="31EE33F5"/>
    <w:rsid w:val="320C360F"/>
    <w:rsid w:val="32806D8A"/>
    <w:rsid w:val="331C3D26"/>
    <w:rsid w:val="33423060"/>
    <w:rsid w:val="334D0383"/>
    <w:rsid w:val="33631954"/>
    <w:rsid w:val="339628D2"/>
    <w:rsid w:val="33D75E9F"/>
    <w:rsid w:val="3417273F"/>
    <w:rsid w:val="34C6175A"/>
    <w:rsid w:val="35066804"/>
    <w:rsid w:val="350B742E"/>
    <w:rsid w:val="35BB6DF4"/>
    <w:rsid w:val="35ED6B2A"/>
    <w:rsid w:val="360D5BA8"/>
    <w:rsid w:val="36116741"/>
    <w:rsid w:val="363650FE"/>
    <w:rsid w:val="36617CA1"/>
    <w:rsid w:val="3679323D"/>
    <w:rsid w:val="370A0339"/>
    <w:rsid w:val="3715740A"/>
    <w:rsid w:val="371A4A20"/>
    <w:rsid w:val="372D2F7F"/>
    <w:rsid w:val="37993671"/>
    <w:rsid w:val="37E172EC"/>
    <w:rsid w:val="37E666B0"/>
    <w:rsid w:val="38637D01"/>
    <w:rsid w:val="38C22FC0"/>
    <w:rsid w:val="38D429AD"/>
    <w:rsid w:val="39616096"/>
    <w:rsid w:val="397877DC"/>
    <w:rsid w:val="39882C57"/>
    <w:rsid w:val="39BD3C5B"/>
    <w:rsid w:val="3A7B288D"/>
    <w:rsid w:val="3B5E2A01"/>
    <w:rsid w:val="3B7346FF"/>
    <w:rsid w:val="3BA82BFD"/>
    <w:rsid w:val="3BAB20EB"/>
    <w:rsid w:val="3C7B7D0F"/>
    <w:rsid w:val="3CBC3285"/>
    <w:rsid w:val="3CD236A7"/>
    <w:rsid w:val="3D2E33FF"/>
    <w:rsid w:val="3D5A3DC8"/>
    <w:rsid w:val="3DCE20C0"/>
    <w:rsid w:val="3DCE6DA7"/>
    <w:rsid w:val="3E0B50C2"/>
    <w:rsid w:val="3E682515"/>
    <w:rsid w:val="3EC77AB5"/>
    <w:rsid w:val="3EE85404"/>
    <w:rsid w:val="3F087854"/>
    <w:rsid w:val="3F80563C"/>
    <w:rsid w:val="3F94392A"/>
    <w:rsid w:val="3FBD419A"/>
    <w:rsid w:val="3FE71217"/>
    <w:rsid w:val="40121A1B"/>
    <w:rsid w:val="40864ED4"/>
    <w:rsid w:val="41046C8C"/>
    <w:rsid w:val="41344930"/>
    <w:rsid w:val="41717932"/>
    <w:rsid w:val="419B49AF"/>
    <w:rsid w:val="41D35319"/>
    <w:rsid w:val="41DF489C"/>
    <w:rsid w:val="420C765B"/>
    <w:rsid w:val="42693067"/>
    <w:rsid w:val="42733236"/>
    <w:rsid w:val="427F607F"/>
    <w:rsid w:val="42884F34"/>
    <w:rsid w:val="42C341BE"/>
    <w:rsid w:val="43982048"/>
    <w:rsid w:val="43CC495B"/>
    <w:rsid w:val="440F6F8F"/>
    <w:rsid w:val="4469669F"/>
    <w:rsid w:val="44BA15F0"/>
    <w:rsid w:val="45012D7B"/>
    <w:rsid w:val="451E392D"/>
    <w:rsid w:val="45796DB6"/>
    <w:rsid w:val="459534C4"/>
    <w:rsid w:val="45A61468"/>
    <w:rsid w:val="45DD7344"/>
    <w:rsid w:val="46252A99"/>
    <w:rsid w:val="4645313C"/>
    <w:rsid w:val="465E66B3"/>
    <w:rsid w:val="46F732B1"/>
    <w:rsid w:val="47242D51"/>
    <w:rsid w:val="475A6773"/>
    <w:rsid w:val="47613FA5"/>
    <w:rsid w:val="47B6609F"/>
    <w:rsid w:val="490C7F41"/>
    <w:rsid w:val="49374FBE"/>
    <w:rsid w:val="4941408E"/>
    <w:rsid w:val="4A565850"/>
    <w:rsid w:val="4B054C48"/>
    <w:rsid w:val="4B241572"/>
    <w:rsid w:val="4B307F16"/>
    <w:rsid w:val="4B410375"/>
    <w:rsid w:val="4B532522"/>
    <w:rsid w:val="4C2A2BB8"/>
    <w:rsid w:val="4CD62D3F"/>
    <w:rsid w:val="4CEF57C6"/>
    <w:rsid w:val="4D183358"/>
    <w:rsid w:val="4D592737"/>
    <w:rsid w:val="4D913ADD"/>
    <w:rsid w:val="4E0A0EF3"/>
    <w:rsid w:val="4E402B66"/>
    <w:rsid w:val="4E7C3473"/>
    <w:rsid w:val="4EA2737D"/>
    <w:rsid w:val="4F6673FF"/>
    <w:rsid w:val="4FA15887"/>
    <w:rsid w:val="50746AF7"/>
    <w:rsid w:val="50854860"/>
    <w:rsid w:val="51387B25"/>
    <w:rsid w:val="519606FE"/>
    <w:rsid w:val="523A5B1F"/>
    <w:rsid w:val="52410C5B"/>
    <w:rsid w:val="52854FEC"/>
    <w:rsid w:val="52C92E63"/>
    <w:rsid w:val="52F72359"/>
    <w:rsid w:val="53114AD1"/>
    <w:rsid w:val="5360774C"/>
    <w:rsid w:val="53672943"/>
    <w:rsid w:val="536E1371"/>
    <w:rsid w:val="54417363"/>
    <w:rsid w:val="546B1FBF"/>
    <w:rsid w:val="5470756A"/>
    <w:rsid w:val="54D73AF9"/>
    <w:rsid w:val="55935C72"/>
    <w:rsid w:val="55F22A1C"/>
    <w:rsid w:val="570D55B0"/>
    <w:rsid w:val="575136EE"/>
    <w:rsid w:val="577D2735"/>
    <w:rsid w:val="580544D9"/>
    <w:rsid w:val="585314A0"/>
    <w:rsid w:val="589D2963"/>
    <w:rsid w:val="58C6765E"/>
    <w:rsid w:val="592954E8"/>
    <w:rsid w:val="59A9630E"/>
    <w:rsid w:val="5A186745"/>
    <w:rsid w:val="5A490FF5"/>
    <w:rsid w:val="5A980128"/>
    <w:rsid w:val="5AA1498D"/>
    <w:rsid w:val="5ABA5A4E"/>
    <w:rsid w:val="5ACB7C5C"/>
    <w:rsid w:val="5AE825BC"/>
    <w:rsid w:val="5B1D1746"/>
    <w:rsid w:val="5B503CBD"/>
    <w:rsid w:val="5B590DC3"/>
    <w:rsid w:val="5BB24978"/>
    <w:rsid w:val="5CC47CC0"/>
    <w:rsid w:val="5D7947E6"/>
    <w:rsid w:val="5DCA41FA"/>
    <w:rsid w:val="5DEC4171"/>
    <w:rsid w:val="5E385608"/>
    <w:rsid w:val="5E734DF0"/>
    <w:rsid w:val="5E8C7702"/>
    <w:rsid w:val="5E8F2230"/>
    <w:rsid w:val="5F205F92"/>
    <w:rsid w:val="5FB54A36"/>
    <w:rsid w:val="600727C8"/>
    <w:rsid w:val="6068452E"/>
    <w:rsid w:val="60914033"/>
    <w:rsid w:val="60A56859"/>
    <w:rsid w:val="60B26C85"/>
    <w:rsid w:val="61007F33"/>
    <w:rsid w:val="611B187D"/>
    <w:rsid w:val="61BB4F75"/>
    <w:rsid w:val="61F5075D"/>
    <w:rsid w:val="62083543"/>
    <w:rsid w:val="621456D4"/>
    <w:rsid w:val="625B18C5"/>
    <w:rsid w:val="62A274F4"/>
    <w:rsid w:val="62B84A84"/>
    <w:rsid w:val="62D376AD"/>
    <w:rsid w:val="63462575"/>
    <w:rsid w:val="636E0BBA"/>
    <w:rsid w:val="641206A9"/>
    <w:rsid w:val="641D6FC0"/>
    <w:rsid w:val="64A13D8C"/>
    <w:rsid w:val="65622F6B"/>
    <w:rsid w:val="657038D9"/>
    <w:rsid w:val="6615622F"/>
    <w:rsid w:val="663A453E"/>
    <w:rsid w:val="6689274A"/>
    <w:rsid w:val="668A4527"/>
    <w:rsid w:val="66976C44"/>
    <w:rsid w:val="66D25ECE"/>
    <w:rsid w:val="678F3DBF"/>
    <w:rsid w:val="67EF294E"/>
    <w:rsid w:val="67FD51CC"/>
    <w:rsid w:val="683C3F47"/>
    <w:rsid w:val="684A6664"/>
    <w:rsid w:val="68A9133C"/>
    <w:rsid w:val="68DA5E75"/>
    <w:rsid w:val="68F14D31"/>
    <w:rsid w:val="6A695768"/>
    <w:rsid w:val="6A7C7C19"/>
    <w:rsid w:val="6B916358"/>
    <w:rsid w:val="6C007039"/>
    <w:rsid w:val="6C1B08FE"/>
    <w:rsid w:val="6C3A079D"/>
    <w:rsid w:val="6C4D1F61"/>
    <w:rsid w:val="6CB22A29"/>
    <w:rsid w:val="6D580FF6"/>
    <w:rsid w:val="6DDD2C1A"/>
    <w:rsid w:val="6DE313AF"/>
    <w:rsid w:val="6E0F1884"/>
    <w:rsid w:val="6EFA2AD9"/>
    <w:rsid w:val="6F887A72"/>
    <w:rsid w:val="6FB10D76"/>
    <w:rsid w:val="70025A76"/>
    <w:rsid w:val="700A0487"/>
    <w:rsid w:val="70E65DAA"/>
    <w:rsid w:val="71463740"/>
    <w:rsid w:val="72181581"/>
    <w:rsid w:val="731358A4"/>
    <w:rsid w:val="731F019C"/>
    <w:rsid w:val="73410663"/>
    <w:rsid w:val="73CD639B"/>
    <w:rsid w:val="74481B88"/>
    <w:rsid w:val="75096F5F"/>
    <w:rsid w:val="750E2C12"/>
    <w:rsid w:val="751D6EAE"/>
    <w:rsid w:val="75596138"/>
    <w:rsid w:val="75B844B3"/>
    <w:rsid w:val="75F41E4B"/>
    <w:rsid w:val="76277FE4"/>
    <w:rsid w:val="76481D09"/>
    <w:rsid w:val="766B2A9C"/>
    <w:rsid w:val="76715758"/>
    <w:rsid w:val="77C96E79"/>
    <w:rsid w:val="77EA751B"/>
    <w:rsid w:val="77EB3293"/>
    <w:rsid w:val="78056103"/>
    <w:rsid w:val="78393FFF"/>
    <w:rsid w:val="78B11DE7"/>
    <w:rsid w:val="7967694A"/>
    <w:rsid w:val="796B643A"/>
    <w:rsid w:val="79982FA7"/>
    <w:rsid w:val="799A6D1F"/>
    <w:rsid w:val="79C97604"/>
    <w:rsid w:val="79FD2E0A"/>
    <w:rsid w:val="7AAC08C3"/>
    <w:rsid w:val="7AB23BF5"/>
    <w:rsid w:val="7AF55978"/>
    <w:rsid w:val="7B810197"/>
    <w:rsid w:val="7B8374D3"/>
    <w:rsid w:val="7BA46E03"/>
    <w:rsid w:val="7BBA7205"/>
    <w:rsid w:val="7BDA3403"/>
    <w:rsid w:val="7C3F595C"/>
    <w:rsid w:val="7CCD2078"/>
    <w:rsid w:val="7D747887"/>
    <w:rsid w:val="7DD345AE"/>
    <w:rsid w:val="7DF82266"/>
    <w:rsid w:val="7E4E00D8"/>
    <w:rsid w:val="7E5C45A3"/>
    <w:rsid w:val="7EB10D93"/>
    <w:rsid w:val="7EC84E00"/>
    <w:rsid w:val="7EEB3B79"/>
    <w:rsid w:val="7F7B2182"/>
    <w:rsid w:val="7F8738A2"/>
    <w:rsid w:val="7F8F09A8"/>
    <w:rsid w:val="7FA44454"/>
    <w:rsid w:val="7FCC7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before="180" w:after="180"/>
    </w:pPr>
    <w:rPr>
      <w:rFonts w:asciiTheme="minorHAnsi" w:hAnsiTheme="minorHAnsi" w:eastAsiaTheme="minorEastAsia" w:cstheme="minorBidi"/>
      <w:lang w:eastAsia="en-US"/>
    </w:rPr>
  </w:style>
  <w:style w:type="paragraph" w:styleId="6">
    <w:name w:val="toc 3"/>
    <w:basedOn w:val="1"/>
    <w:next w:val="1"/>
    <w:qFormat/>
    <w:uiPriority w:val="0"/>
    <w:pPr>
      <w:ind w:left="840" w:leftChars="400"/>
    </w:pPr>
  </w:style>
  <w:style w:type="paragraph" w:styleId="7">
    <w:name w:val="Balloon Text"/>
    <w:basedOn w:val="1"/>
    <w:link w:val="17"/>
    <w:qFormat/>
    <w:uiPriority w:val="0"/>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4">
    <w:name w:val="page number"/>
    <w:basedOn w:val="13"/>
    <w:qFormat/>
    <w:uiPriority w:val="0"/>
  </w:style>
  <w:style w:type="paragraph" w:styleId="15">
    <w:name w:val="List Paragraph"/>
    <w:basedOn w:val="1"/>
    <w:qFormat/>
    <w:uiPriority w:val="0"/>
    <w:pPr>
      <w:ind w:firstLine="420" w:firstLineChars="200"/>
    </w:pPr>
  </w:style>
  <w:style w:type="paragraph" w:customStyle="1" w:styleId="16">
    <w:name w:val="列出段落2"/>
    <w:basedOn w:val="1"/>
    <w:unhideWhenUsed/>
    <w:qFormat/>
    <w:uiPriority w:val="99"/>
    <w:pPr>
      <w:ind w:firstLine="420" w:firstLineChars="200"/>
    </w:pPr>
  </w:style>
  <w:style w:type="character" w:customStyle="1" w:styleId="17">
    <w:name w:val="批注框文本 字符"/>
    <w:basedOn w:val="13"/>
    <w:link w:val="7"/>
    <w:qFormat/>
    <w:uiPriority w:val="0"/>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1B4CF-0321-4B31-BCD8-F53C9DE5C6D2}">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3909</Words>
  <Characters>4152</Characters>
  <Lines>33</Lines>
  <Paragraphs>9</Paragraphs>
  <TotalTime>41</TotalTime>
  <ScaleCrop>false</ScaleCrop>
  <LinksUpToDate>false</LinksUpToDate>
  <CharactersWithSpaces>4204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2025-02-25T09:01:00Z</dcterms:created>
  <dc:creator>greetdawn</dc:creator>
  <cp:lastModifiedBy>工作人员</cp:lastModifiedBy>
  <dcterms:modified xsi:type="dcterms:W3CDTF">2025-08-13T03:05:55Z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TemplateDocerSaveRecord">
    <vt:lpwstr>eyJoZGlkIjoiMTNkYjMwZGExNWRkZGIwZjM4ODY4MmU5ODJjMjdhMzgiLCJ1c2VySWQiOiI1MDMyMTg4MDIifQ==</vt:lpwstr>
  </property>
  <property fmtid="{D5CDD505-2E9C-101B-9397-08002B2CF9AE}" pid="4" name="ICV">
    <vt:lpwstr>ABC92C0976E44D4CA02078286551A0E1_13</vt:lpwstr>
  </property>
</Properties>
</file>